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41F2" w14:textId="77777777" w:rsidR="0019173E" w:rsidRPr="00856C79" w:rsidRDefault="0019173E" w:rsidP="003B0101">
      <w:pPr>
        <w:pStyle w:val="MemoHeader"/>
        <w:jc w:val="center"/>
        <w:rPr>
          <w:rFonts w:ascii="Times New Roman" w:hAnsi="Times New Roman"/>
          <w:color w:val="000000" w:themeColor="text1"/>
          <w:szCs w:val="32"/>
        </w:rPr>
      </w:pPr>
      <w:bookmarkStart w:id="0" w:name="_Hlk29384820"/>
      <w:bookmarkStart w:id="1" w:name="_Hlk29384775"/>
      <w:bookmarkStart w:id="2" w:name="_Hlk29384742"/>
      <w:bookmarkStart w:id="3" w:name="_Hlk29384713"/>
      <w:bookmarkStart w:id="4" w:name="_GoBack"/>
      <w:bookmarkEnd w:id="4"/>
      <w:r w:rsidRPr="00856C79">
        <w:rPr>
          <w:rFonts w:ascii="Times New Roman" w:hAnsi="Times New Roman"/>
          <w:color w:val="000000" w:themeColor="text1"/>
          <w:szCs w:val="32"/>
        </w:rPr>
        <w:t>PUC Interoffice Memorandum</w:t>
      </w:r>
    </w:p>
    <w:p w14:paraId="5039F933" w14:textId="1C811F00" w:rsidR="00E01F8A" w:rsidRPr="00856C79" w:rsidRDefault="00E01F8A" w:rsidP="00B17CFC">
      <w:pPr>
        <w:tabs>
          <w:tab w:val="left" w:pos="1440"/>
        </w:tabs>
        <w:ind w:left="720"/>
        <w:jc w:val="both"/>
        <w:rPr>
          <w:rFonts w:cs="Times New Roman"/>
          <w:color w:val="000000" w:themeColor="text1"/>
        </w:rPr>
      </w:pPr>
      <w:r w:rsidRPr="00856C79">
        <w:rPr>
          <w:rFonts w:cs="Times New Roman"/>
          <w:b/>
          <w:color w:val="000000" w:themeColor="text1"/>
        </w:rPr>
        <w:t>To:</w:t>
      </w:r>
      <w:r w:rsidRPr="00856C79">
        <w:rPr>
          <w:rFonts w:cs="Times New Roman"/>
          <w:color w:val="000000" w:themeColor="text1"/>
        </w:rPr>
        <w:tab/>
      </w:r>
      <w:r w:rsidR="00B17CFC" w:rsidRPr="00856C79">
        <w:rPr>
          <w:rFonts w:cs="Times New Roman"/>
          <w:color w:val="000000" w:themeColor="text1"/>
        </w:rPr>
        <w:tab/>
      </w:r>
      <w:r w:rsidR="003B6B83" w:rsidRPr="00856C79">
        <w:rPr>
          <w:rFonts w:cs="Times New Roman"/>
          <w:color w:val="000000" w:themeColor="text1"/>
        </w:rPr>
        <w:t>C</w:t>
      </w:r>
      <w:r w:rsidR="003B6B83" w:rsidRPr="00856C79">
        <w:rPr>
          <w:rFonts w:eastAsiaTheme="minorHAnsi" w:cs="Times New Roman"/>
          <w:color w:val="000000" w:themeColor="text1"/>
        </w:rPr>
        <w:t>reighton McMurray</w:t>
      </w:r>
      <w:r w:rsidR="00080A1F" w:rsidRPr="00856C79">
        <w:rPr>
          <w:rFonts w:cs="Times New Roman"/>
          <w:color w:val="000000" w:themeColor="text1"/>
        </w:rPr>
        <w:t xml:space="preserve">, </w:t>
      </w:r>
      <w:r w:rsidRPr="00856C79">
        <w:rPr>
          <w:rFonts w:cs="Times New Roman"/>
          <w:color w:val="000000" w:themeColor="text1"/>
        </w:rPr>
        <w:t xml:space="preserve">Attorney </w:t>
      </w:r>
    </w:p>
    <w:p w14:paraId="5B1A044D" w14:textId="77777777" w:rsidR="00E01F8A" w:rsidRPr="00856C79" w:rsidRDefault="00E01F8A" w:rsidP="00B17CFC">
      <w:pPr>
        <w:tabs>
          <w:tab w:val="left" w:pos="1440"/>
        </w:tabs>
        <w:ind w:left="2160"/>
        <w:jc w:val="both"/>
        <w:rPr>
          <w:rFonts w:cs="Times New Roman"/>
          <w:color w:val="000000" w:themeColor="text1"/>
        </w:rPr>
      </w:pPr>
      <w:r w:rsidRPr="00856C79">
        <w:rPr>
          <w:rFonts w:cs="Times New Roman"/>
          <w:color w:val="000000" w:themeColor="text1"/>
        </w:rPr>
        <w:t>Legal Division</w:t>
      </w:r>
    </w:p>
    <w:p w14:paraId="1023D199" w14:textId="77777777" w:rsidR="00E01F8A" w:rsidRPr="00856C79" w:rsidRDefault="00E01F8A" w:rsidP="00B17CFC">
      <w:pPr>
        <w:tabs>
          <w:tab w:val="left" w:pos="1440"/>
        </w:tabs>
        <w:ind w:left="720"/>
        <w:jc w:val="both"/>
        <w:rPr>
          <w:rFonts w:cs="Times New Roman"/>
          <w:color w:val="000000" w:themeColor="text1"/>
          <w:sz w:val="16"/>
          <w:szCs w:val="16"/>
        </w:rPr>
      </w:pPr>
    </w:p>
    <w:p w14:paraId="5601CED0" w14:textId="77777777" w:rsidR="00E01F8A" w:rsidRPr="00856C79" w:rsidRDefault="00E01F8A" w:rsidP="00B17CFC">
      <w:pPr>
        <w:tabs>
          <w:tab w:val="left" w:pos="1440"/>
        </w:tabs>
        <w:ind w:left="720"/>
        <w:jc w:val="both"/>
        <w:rPr>
          <w:rFonts w:cs="Times New Roman"/>
          <w:color w:val="000000" w:themeColor="text1"/>
          <w:sz w:val="16"/>
          <w:szCs w:val="16"/>
        </w:rPr>
      </w:pPr>
    </w:p>
    <w:p w14:paraId="1E67E0B9" w14:textId="208EF67A" w:rsidR="00E01F8A" w:rsidRPr="00856C79" w:rsidRDefault="00E01F8A" w:rsidP="00B17CFC">
      <w:pPr>
        <w:tabs>
          <w:tab w:val="left" w:pos="1440"/>
        </w:tabs>
        <w:ind w:left="720"/>
        <w:jc w:val="both"/>
        <w:rPr>
          <w:rFonts w:cs="Times New Roman"/>
          <w:color w:val="000000" w:themeColor="text1"/>
        </w:rPr>
      </w:pPr>
      <w:r w:rsidRPr="00856C79">
        <w:rPr>
          <w:rFonts w:cs="Times New Roman"/>
          <w:b/>
          <w:color w:val="000000" w:themeColor="text1"/>
        </w:rPr>
        <w:t>From:</w:t>
      </w:r>
      <w:r w:rsidRPr="00856C79">
        <w:rPr>
          <w:rFonts w:cs="Times New Roman"/>
          <w:color w:val="000000" w:themeColor="text1"/>
        </w:rPr>
        <w:tab/>
      </w:r>
      <w:r w:rsidR="00B17CFC" w:rsidRPr="00856C79">
        <w:rPr>
          <w:rFonts w:cs="Times New Roman"/>
          <w:color w:val="000000" w:themeColor="text1"/>
        </w:rPr>
        <w:tab/>
      </w:r>
      <w:r w:rsidR="00263ECF" w:rsidRPr="00856C79">
        <w:rPr>
          <w:rFonts w:cs="Times New Roman"/>
          <w:color w:val="000000" w:themeColor="text1"/>
        </w:rPr>
        <w:t>Nabaraj Pokharel, Engineering Specialist</w:t>
      </w:r>
    </w:p>
    <w:p w14:paraId="5B6099FC" w14:textId="7F4EBD1F" w:rsidR="00E01F8A" w:rsidRDefault="00263ECF" w:rsidP="00B17CFC">
      <w:pPr>
        <w:tabs>
          <w:tab w:val="left" w:pos="1440"/>
        </w:tabs>
        <w:ind w:left="2160"/>
        <w:jc w:val="both"/>
        <w:rPr>
          <w:rFonts w:cs="Times New Roman"/>
          <w:color w:val="000000" w:themeColor="text1"/>
        </w:rPr>
      </w:pPr>
      <w:r w:rsidRPr="00856C79">
        <w:rPr>
          <w:rFonts w:cs="Times New Roman"/>
          <w:color w:val="000000" w:themeColor="text1"/>
        </w:rPr>
        <w:t>Infrastructure</w:t>
      </w:r>
      <w:r w:rsidR="00E01F8A" w:rsidRPr="00856C79">
        <w:rPr>
          <w:rFonts w:cs="Times New Roman"/>
          <w:color w:val="000000" w:themeColor="text1"/>
        </w:rPr>
        <w:t xml:space="preserve"> Division</w:t>
      </w:r>
    </w:p>
    <w:p w14:paraId="0ABA43C1" w14:textId="77777777" w:rsidR="00F52710" w:rsidRDefault="00F52710" w:rsidP="00B17CFC">
      <w:pPr>
        <w:tabs>
          <w:tab w:val="left" w:pos="1440"/>
        </w:tabs>
        <w:ind w:left="2160"/>
        <w:jc w:val="both"/>
        <w:rPr>
          <w:rFonts w:cs="Times New Roman"/>
          <w:color w:val="000000" w:themeColor="text1"/>
        </w:rPr>
      </w:pPr>
    </w:p>
    <w:p w14:paraId="2DDC6181" w14:textId="05641FD1" w:rsidR="00F52710" w:rsidRDefault="00F52710" w:rsidP="00B17CFC">
      <w:pPr>
        <w:tabs>
          <w:tab w:val="left" w:pos="1440"/>
        </w:tabs>
        <w:ind w:left="2160"/>
        <w:jc w:val="both"/>
        <w:rPr>
          <w:rFonts w:cs="Times New Roman"/>
          <w:color w:val="000000" w:themeColor="text1"/>
        </w:rPr>
      </w:pPr>
      <w:r>
        <w:rPr>
          <w:rFonts w:cs="Times New Roman"/>
          <w:color w:val="000000" w:themeColor="text1"/>
        </w:rPr>
        <w:t>Maxine Gilford, Financial Analyst</w:t>
      </w:r>
    </w:p>
    <w:p w14:paraId="6D254B19" w14:textId="48CC557B" w:rsidR="00F52710" w:rsidRPr="00856C79" w:rsidRDefault="00F52710" w:rsidP="00B17CFC">
      <w:pPr>
        <w:tabs>
          <w:tab w:val="left" w:pos="1440"/>
        </w:tabs>
        <w:ind w:left="2160"/>
        <w:jc w:val="both"/>
        <w:rPr>
          <w:rFonts w:cs="Times New Roman"/>
          <w:color w:val="000000" w:themeColor="text1"/>
        </w:rPr>
      </w:pPr>
      <w:r>
        <w:rPr>
          <w:rFonts w:cs="Times New Roman"/>
          <w:color w:val="000000" w:themeColor="text1"/>
        </w:rPr>
        <w:t>Rate Regulation Division</w:t>
      </w:r>
    </w:p>
    <w:p w14:paraId="3D9BCD85" w14:textId="77777777" w:rsidR="00105CE8" w:rsidRPr="00856C79" w:rsidRDefault="00105CE8" w:rsidP="00B17CFC">
      <w:pPr>
        <w:tabs>
          <w:tab w:val="left" w:pos="1440"/>
        </w:tabs>
        <w:ind w:left="720"/>
        <w:jc w:val="both"/>
        <w:rPr>
          <w:rFonts w:cs="Times New Roman"/>
          <w:color w:val="000000" w:themeColor="text1"/>
          <w:sz w:val="16"/>
          <w:szCs w:val="16"/>
        </w:rPr>
      </w:pPr>
    </w:p>
    <w:p w14:paraId="0B0C7709" w14:textId="74A93A14" w:rsidR="00B64890" w:rsidRPr="00856C79" w:rsidRDefault="00671D9D" w:rsidP="00B17CFC">
      <w:pPr>
        <w:tabs>
          <w:tab w:val="left" w:pos="1440"/>
        </w:tabs>
        <w:ind w:left="720"/>
        <w:rPr>
          <w:rFonts w:cs="Times New Roman"/>
          <w:color w:val="000000" w:themeColor="text1"/>
        </w:rPr>
      </w:pPr>
      <w:r w:rsidRPr="00856C79">
        <w:rPr>
          <w:rFonts w:cs="Times New Roman"/>
          <w:b/>
          <w:color w:val="000000" w:themeColor="text1"/>
        </w:rPr>
        <w:t>Date:</w:t>
      </w:r>
      <w:r w:rsidR="00B64890" w:rsidRPr="00856C79">
        <w:rPr>
          <w:rFonts w:cs="Times New Roman"/>
          <w:color w:val="000000" w:themeColor="text1"/>
        </w:rPr>
        <w:tab/>
      </w:r>
      <w:r w:rsidR="00B17CFC" w:rsidRPr="00856C79">
        <w:rPr>
          <w:rFonts w:cs="Times New Roman"/>
          <w:color w:val="000000" w:themeColor="text1"/>
        </w:rPr>
        <w:tab/>
      </w:r>
      <w:r w:rsidR="00263ECF" w:rsidRPr="00856C79">
        <w:rPr>
          <w:rFonts w:cs="Times New Roman"/>
          <w:color w:val="000000" w:themeColor="text1"/>
        </w:rPr>
        <w:t xml:space="preserve">January </w:t>
      </w:r>
      <w:r w:rsidR="002E203F">
        <w:rPr>
          <w:rFonts w:cs="Times New Roman"/>
          <w:color w:val="000000" w:themeColor="text1"/>
        </w:rPr>
        <w:t>10</w:t>
      </w:r>
      <w:r w:rsidR="00263ECF" w:rsidRPr="00856C79">
        <w:rPr>
          <w:rFonts w:cs="Times New Roman"/>
          <w:color w:val="000000" w:themeColor="text1"/>
        </w:rPr>
        <w:t>, 2020</w:t>
      </w:r>
      <w:r w:rsidR="009A5845" w:rsidRPr="00856C79">
        <w:rPr>
          <w:rFonts w:cs="Times New Roman"/>
          <w:color w:val="000000" w:themeColor="text1"/>
        </w:rPr>
        <w:t xml:space="preserve"> </w:t>
      </w:r>
    </w:p>
    <w:p w14:paraId="783F45CB" w14:textId="77777777" w:rsidR="00B64890" w:rsidRPr="00856C79" w:rsidRDefault="00B64890" w:rsidP="00B17CFC">
      <w:pPr>
        <w:ind w:left="720"/>
        <w:rPr>
          <w:rFonts w:cs="Times New Roman"/>
          <w:color w:val="000000" w:themeColor="text1"/>
          <w:sz w:val="16"/>
          <w:szCs w:val="16"/>
        </w:rPr>
      </w:pPr>
    </w:p>
    <w:p w14:paraId="249DDC15" w14:textId="317841C1" w:rsidR="00B17CFC" w:rsidRPr="00856C79" w:rsidRDefault="00B17CFC" w:rsidP="00B17CFC">
      <w:pPr>
        <w:ind w:left="2160" w:hanging="1440"/>
        <w:jc w:val="both"/>
        <w:rPr>
          <w:rFonts w:cs="Times New Roman"/>
          <w:i/>
          <w:color w:val="000000" w:themeColor="text1"/>
        </w:rPr>
      </w:pPr>
      <w:r w:rsidRPr="00856C79">
        <w:rPr>
          <w:rFonts w:cs="Times New Roman"/>
          <w:b/>
          <w:color w:val="000000" w:themeColor="text1"/>
        </w:rPr>
        <w:t>Subject:</w:t>
      </w:r>
      <w:r w:rsidR="00B64890" w:rsidRPr="00856C79">
        <w:rPr>
          <w:rFonts w:cs="Times New Roman"/>
          <w:b/>
          <w:color w:val="000000" w:themeColor="text1"/>
        </w:rPr>
        <w:tab/>
      </w:r>
      <w:r w:rsidR="00DD5EE8">
        <w:rPr>
          <w:rFonts w:cs="Times New Roman"/>
          <w:b/>
          <w:color w:val="000000" w:themeColor="text1"/>
        </w:rPr>
        <w:t>Docket</w:t>
      </w:r>
      <w:r w:rsidR="00B64890" w:rsidRPr="00856C79">
        <w:rPr>
          <w:rFonts w:cs="Times New Roman"/>
          <w:b/>
          <w:caps/>
          <w:color w:val="000000" w:themeColor="text1"/>
        </w:rPr>
        <w:t xml:space="preserve"> </w:t>
      </w:r>
      <w:r w:rsidR="00B64890" w:rsidRPr="00856C79">
        <w:rPr>
          <w:rFonts w:cs="Times New Roman"/>
          <w:b/>
          <w:color w:val="000000" w:themeColor="text1"/>
          <w:lang w:val="en-CA"/>
        </w:rPr>
        <w:t>No</w:t>
      </w:r>
      <w:r w:rsidR="00B64890" w:rsidRPr="00856C79">
        <w:rPr>
          <w:rFonts w:cs="Times New Roman"/>
          <w:b/>
          <w:caps/>
          <w:color w:val="000000" w:themeColor="text1"/>
        </w:rPr>
        <w:t>.</w:t>
      </w:r>
      <w:r w:rsidR="00671D9D" w:rsidRPr="00856C79">
        <w:rPr>
          <w:rFonts w:cs="Times New Roman"/>
          <w:b/>
          <w:color w:val="000000" w:themeColor="text1"/>
          <w:lang w:val="en-CA"/>
        </w:rPr>
        <w:t xml:space="preserve"> </w:t>
      </w:r>
      <w:r w:rsidR="00D153F0" w:rsidRPr="00856C79">
        <w:rPr>
          <w:rFonts w:cs="Times New Roman"/>
          <w:b/>
          <w:color w:val="000000" w:themeColor="text1"/>
          <w:lang w:val="en-CA"/>
        </w:rPr>
        <w:t>49559</w:t>
      </w:r>
      <w:r w:rsidR="00B64890" w:rsidRPr="00856C79">
        <w:rPr>
          <w:rFonts w:cs="Times New Roman"/>
          <w:b/>
          <w:color w:val="000000" w:themeColor="text1"/>
          <w:lang w:val="en-CA"/>
        </w:rPr>
        <w:t>:</w:t>
      </w:r>
      <w:r w:rsidR="00B64890" w:rsidRPr="00856C79">
        <w:rPr>
          <w:rFonts w:cs="Times New Roman"/>
          <w:i/>
          <w:color w:val="000000" w:themeColor="text1"/>
          <w:lang w:val="en-CA"/>
        </w:rPr>
        <w:t xml:space="preserve">  </w:t>
      </w:r>
      <w:r w:rsidR="00386532" w:rsidRPr="00856C79">
        <w:rPr>
          <w:rFonts w:cs="Times New Roman"/>
          <w:i/>
          <w:color w:val="000000" w:themeColor="text1"/>
        </w:rPr>
        <w:t xml:space="preserve">Application of </w:t>
      </w:r>
      <w:r w:rsidR="00D153F0" w:rsidRPr="00856C79">
        <w:rPr>
          <w:rFonts w:eastAsiaTheme="minorHAnsi" w:cs="Times New Roman"/>
          <w:i/>
          <w:color w:val="000000" w:themeColor="text1"/>
        </w:rPr>
        <w:t>City of Hallsville</w:t>
      </w:r>
      <w:r w:rsidR="00E75116" w:rsidRPr="00856C79">
        <w:rPr>
          <w:rFonts w:eastAsiaTheme="minorHAnsi" w:cs="Times New Roman"/>
          <w:i/>
          <w:color w:val="000000" w:themeColor="text1"/>
        </w:rPr>
        <w:t xml:space="preserve"> </w:t>
      </w:r>
      <w:r w:rsidR="00671D9D" w:rsidRPr="00856C79">
        <w:rPr>
          <w:rFonts w:cs="Times New Roman"/>
          <w:i/>
          <w:color w:val="000000" w:themeColor="text1"/>
        </w:rPr>
        <w:t xml:space="preserve">to </w:t>
      </w:r>
      <w:r w:rsidR="00D153F0" w:rsidRPr="00856C79">
        <w:rPr>
          <w:rFonts w:cs="Times New Roman"/>
          <w:i/>
          <w:color w:val="000000" w:themeColor="text1"/>
        </w:rPr>
        <w:t>Amend</w:t>
      </w:r>
      <w:r w:rsidR="00671D9D" w:rsidRPr="00856C79">
        <w:rPr>
          <w:rFonts w:cs="Times New Roman"/>
          <w:i/>
          <w:color w:val="000000" w:themeColor="text1"/>
        </w:rPr>
        <w:t xml:space="preserve"> </w:t>
      </w:r>
      <w:r w:rsidR="00D153F0" w:rsidRPr="00856C79">
        <w:rPr>
          <w:rFonts w:cs="Times New Roman"/>
          <w:i/>
          <w:color w:val="000000" w:themeColor="text1"/>
        </w:rPr>
        <w:t xml:space="preserve">and Decertify a Portion of a Water Certificate of Convenience and Necessity of West Harrison WSC’s </w:t>
      </w:r>
      <w:r w:rsidR="00671D9D" w:rsidRPr="00856C79">
        <w:rPr>
          <w:rFonts w:cs="Times New Roman"/>
          <w:i/>
          <w:color w:val="000000" w:themeColor="text1"/>
        </w:rPr>
        <w:t xml:space="preserve">in </w:t>
      </w:r>
      <w:r w:rsidR="00D153F0" w:rsidRPr="00856C79">
        <w:rPr>
          <w:rFonts w:eastAsiaTheme="minorHAnsi" w:cs="Times New Roman"/>
          <w:i/>
          <w:color w:val="000000" w:themeColor="text1"/>
        </w:rPr>
        <w:t>Harrison</w:t>
      </w:r>
      <w:r w:rsidR="00DE7B40" w:rsidRPr="00856C79">
        <w:rPr>
          <w:rFonts w:eastAsiaTheme="minorHAnsi" w:cs="Times New Roman"/>
          <w:i/>
          <w:color w:val="000000" w:themeColor="text1"/>
        </w:rPr>
        <w:t xml:space="preserve"> County</w:t>
      </w:r>
      <w:r w:rsidR="00386532" w:rsidRPr="00856C79">
        <w:rPr>
          <w:rFonts w:cs="Times New Roman"/>
          <w:i/>
          <w:color w:val="000000" w:themeColor="text1"/>
        </w:rPr>
        <w:t xml:space="preserve"> </w:t>
      </w:r>
    </w:p>
    <w:p w14:paraId="2E657F6C" w14:textId="0DFFAD09" w:rsidR="00B64890" w:rsidRPr="00856C79" w:rsidRDefault="00B64890" w:rsidP="00B17CFC">
      <w:pPr>
        <w:ind w:left="2160" w:hanging="1440"/>
        <w:jc w:val="both"/>
        <w:rPr>
          <w:rFonts w:cs="Times New Roman"/>
          <w:i/>
          <w:color w:val="000000" w:themeColor="text1"/>
        </w:rPr>
      </w:pPr>
      <w:r w:rsidRPr="00856C79">
        <w:rPr>
          <w:rFonts w:cs="Times New Roman"/>
          <w:i/>
          <w:color w:val="000000" w:themeColor="text1"/>
          <w:lang w:val="en-CA"/>
        </w:rPr>
        <w:fldChar w:fldCharType="begin"/>
      </w:r>
      <w:r w:rsidRPr="00856C79">
        <w:rPr>
          <w:rFonts w:cs="Times New Roman"/>
          <w:i/>
          <w:color w:val="000000" w:themeColor="text1"/>
          <w:lang w:val="en-CA"/>
        </w:rPr>
        <w:instrText xml:space="preserve"> SEQ CHAPTER \h \r 1</w:instrText>
      </w:r>
      <w:r w:rsidRPr="00856C79">
        <w:rPr>
          <w:rFonts w:cs="Times New Roman"/>
          <w:i/>
          <w:color w:val="000000" w:themeColor="text1"/>
          <w:lang w:val="en-CA"/>
        </w:rPr>
        <w:fldChar w:fldCharType="end"/>
      </w:r>
    </w:p>
    <w:p w14:paraId="06D623AF" w14:textId="77777777" w:rsidR="00B64890" w:rsidRPr="00856C79" w:rsidRDefault="00B64890" w:rsidP="00B17CFC">
      <w:pPr>
        <w:ind w:left="2160" w:hanging="1440"/>
        <w:jc w:val="both"/>
        <w:rPr>
          <w:rFonts w:cs="Times New Roman"/>
          <w:color w:val="000000" w:themeColor="text1"/>
          <w:sz w:val="16"/>
          <w:szCs w:val="16"/>
        </w:rPr>
      </w:pPr>
    </w:p>
    <w:p w14:paraId="05522C5B" w14:textId="3039A42E" w:rsidR="00E533AC" w:rsidRPr="009C673C" w:rsidRDefault="00E01F8A" w:rsidP="002243CD">
      <w:pPr>
        <w:ind w:left="720"/>
        <w:jc w:val="both"/>
        <w:rPr>
          <w:rFonts w:cs="Times New Roman"/>
          <w:color w:val="000000" w:themeColor="text1"/>
        </w:rPr>
      </w:pPr>
      <w:r w:rsidRPr="009C673C">
        <w:rPr>
          <w:rFonts w:cs="Times New Roman"/>
          <w:color w:val="000000" w:themeColor="text1"/>
        </w:rPr>
        <w:t xml:space="preserve">On </w:t>
      </w:r>
      <w:r w:rsidR="008F06CA" w:rsidRPr="009C673C">
        <w:rPr>
          <w:rFonts w:cs="Times New Roman"/>
          <w:color w:val="000000" w:themeColor="text1"/>
        </w:rPr>
        <w:t>May 2</w:t>
      </w:r>
      <w:r w:rsidR="00D153F0" w:rsidRPr="009C673C">
        <w:rPr>
          <w:rFonts w:cs="Times New Roman"/>
          <w:color w:val="000000" w:themeColor="text1"/>
        </w:rPr>
        <w:t>1</w:t>
      </w:r>
      <w:r w:rsidR="008F06CA" w:rsidRPr="009C673C">
        <w:rPr>
          <w:rFonts w:cs="Times New Roman"/>
          <w:color w:val="000000" w:themeColor="text1"/>
        </w:rPr>
        <w:t>, 2019</w:t>
      </w:r>
      <w:r w:rsidRPr="009C673C">
        <w:rPr>
          <w:rFonts w:cs="Times New Roman"/>
          <w:color w:val="000000" w:themeColor="text1"/>
        </w:rPr>
        <w:t xml:space="preserve">, </w:t>
      </w:r>
      <w:r w:rsidR="00D153F0" w:rsidRPr="009C673C">
        <w:rPr>
          <w:rFonts w:cs="Times New Roman"/>
          <w:color w:val="000000" w:themeColor="text1"/>
        </w:rPr>
        <w:t>the City of Hallsville</w:t>
      </w:r>
      <w:r w:rsidR="0081015D" w:rsidRPr="009C673C">
        <w:rPr>
          <w:rFonts w:cs="Times New Roman"/>
          <w:color w:val="000000" w:themeColor="text1"/>
        </w:rPr>
        <w:t xml:space="preserve"> </w:t>
      </w:r>
      <w:r w:rsidRPr="009C673C">
        <w:rPr>
          <w:rFonts w:cs="Times New Roman"/>
          <w:color w:val="000000" w:themeColor="text1"/>
        </w:rPr>
        <w:t>(</w:t>
      </w:r>
      <w:r w:rsidR="00FF5EE9" w:rsidRPr="009C673C">
        <w:rPr>
          <w:rFonts w:cs="Times New Roman"/>
          <w:color w:val="000000" w:themeColor="text1"/>
        </w:rPr>
        <w:t xml:space="preserve">Applicant) filed an application </w:t>
      </w:r>
      <w:r w:rsidR="00B64890" w:rsidRPr="009C673C">
        <w:rPr>
          <w:rFonts w:cs="Times New Roman"/>
          <w:color w:val="000000" w:themeColor="text1"/>
        </w:rPr>
        <w:t xml:space="preserve">to </w:t>
      </w:r>
      <w:r w:rsidR="00D153F0" w:rsidRPr="009C673C">
        <w:rPr>
          <w:rFonts w:cs="Times New Roman"/>
          <w:color w:val="000000" w:themeColor="text1"/>
        </w:rPr>
        <w:t>amend</w:t>
      </w:r>
      <w:r w:rsidR="00CF325C" w:rsidRPr="009C673C">
        <w:rPr>
          <w:rFonts w:cs="Times New Roman"/>
          <w:color w:val="000000" w:themeColor="text1"/>
        </w:rPr>
        <w:t xml:space="preserve"> </w:t>
      </w:r>
      <w:r w:rsidR="0034442C" w:rsidRPr="009C673C">
        <w:rPr>
          <w:rFonts w:cs="Times New Roman"/>
          <w:color w:val="000000" w:themeColor="text1"/>
        </w:rPr>
        <w:t xml:space="preserve">its </w:t>
      </w:r>
      <w:r w:rsidR="00D153F0" w:rsidRPr="009C673C">
        <w:rPr>
          <w:rFonts w:cs="Times New Roman"/>
          <w:color w:val="000000" w:themeColor="text1"/>
        </w:rPr>
        <w:t>water</w:t>
      </w:r>
      <w:r w:rsidR="00B64890" w:rsidRPr="009C673C">
        <w:rPr>
          <w:rFonts w:cs="Times New Roman"/>
          <w:color w:val="000000" w:themeColor="text1"/>
        </w:rPr>
        <w:t xml:space="preserve"> </w:t>
      </w:r>
      <w:r w:rsidR="00310D7B" w:rsidRPr="009C673C">
        <w:rPr>
          <w:rFonts w:cs="Times New Roman"/>
          <w:color w:val="000000" w:themeColor="text1"/>
        </w:rPr>
        <w:t xml:space="preserve">Certificate of Convenience and Necessity (CCN) No. 13200 </w:t>
      </w:r>
      <w:r w:rsidR="00D153F0" w:rsidRPr="009C673C">
        <w:rPr>
          <w:rFonts w:cs="Times New Roman"/>
          <w:color w:val="000000" w:themeColor="text1"/>
        </w:rPr>
        <w:t xml:space="preserve">and to </w:t>
      </w:r>
      <w:r w:rsidR="00310D7B" w:rsidRPr="009C673C">
        <w:rPr>
          <w:rFonts w:cs="Times New Roman"/>
          <w:color w:val="000000" w:themeColor="text1"/>
        </w:rPr>
        <w:t>d</w:t>
      </w:r>
      <w:r w:rsidR="00D153F0" w:rsidRPr="009C673C">
        <w:rPr>
          <w:rFonts w:cs="Times New Roman"/>
          <w:color w:val="000000" w:themeColor="text1"/>
        </w:rPr>
        <w:t xml:space="preserve">ecertify a </w:t>
      </w:r>
      <w:r w:rsidR="00310D7B" w:rsidRPr="009C673C">
        <w:rPr>
          <w:rFonts w:cs="Times New Roman"/>
          <w:color w:val="000000" w:themeColor="text1"/>
        </w:rPr>
        <w:t>p</w:t>
      </w:r>
      <w:r w:rsidR="00D153F0" w:rsidRPr="009C673C">
        <w:rPr>
          <w:rFonts w:cs="Times New Roman"/>
          <w:color w:val="000000" w:themeColor="text1"/>
        </w:rPr>
        <w:t>ortion of West Harrison WSC’s</w:t>
      </w:r>
      <w:r w:rsidR="00310D7B" w:rsidRPr="009C673C">
        <w:rPr>
          <w:rFonts w:cs="Times New Roman"/>
          <w:color w:val="000000" w:themeColor="text1"/>
        </w:rPr>
        <w:t xml:space="preserve"> water CCN No. 12728</w:t>
      </w:r>
      <w:r w:rsidR="00D153F0" w:rsidRPr="009C673C">
        <w:rPr>
          <w:rFonts w:cs="Times New Roman"/>
          <w:color w:val="000000" w:themeColor="text1"/>
        </w:rPr>
        <w:t xml:space="preserve"> in </w:t>
      </w:r>
      <w:r w:rsidR="00D153F0" w:rsidRPr="009C673C">
        <w:rPr>
          <w:rFonts w:eastAsiaTheme="minorHAnsi" w:cs="Times New Roman"/>
          <w:color w:val="000000" w:themeColor="text1"/>
        </w:rPr>
        <w:t>Harrison County</w:t>
      </w:r>
      <w:r w:rsidR="00D153F0" w:rsidRPr="009C673C">
        <w:rPr>
          <w:rFonts w:cs="Times New Roman"/>
          <w:color w:val="000000" w:themeColor="text1"/>
          <w:lang w:val="en-CA"/>
        </w:rPr>
        <w:t xml:space="preserve">. </w:t>
      </w:r>
      <w:r w:rsidR="00E533AC" w:rsidRPr="009C673C">
        <w:rPr>
          <w:rFonts w:cs="Times New Roman"/>
          <w:color w:val="000000" w:themeColor="text1"/>
        </w:rPr>
        <w:t>T</w:t>
      </w:r>
      <w:r w:rsidR="00B64890" w:rsidRPr="009C673C">
        <w:rPr>
          <w:rFonts w:cs="Times New Roman"/>
          <w:color w:val="000000" w:themeColor="text1"/>
        </w:rPr>
        <w:t xml:space="preserve">he application is being reviewed </w:t>
      </w:r>
      <w:r w:rsidR="000B67AF">
        <w:rPr>
          <w:rFonts w:cs="Times New Roman"/>
          <w:color w:val="000000" w:themeColor="text1"/>
        </w:rPr>
        <w:t>under</w:t>
      </w:r>
      <w:r w:rsidR="00E533AC" w:rsidRPr="009C673C">
        <w:rPr>
          <w:rFonts w:cs="Times New Roman"/>
          <w:color w:val="000000" w:themeColor="text1"/>
        </w:rPr>
        <w:t xml:space="preserve"> Texas Water Code Ann. (TWC) §§ 13.242</w:t>
      </w:r>
      <w:r w:rsidR="00C149BD">
        <w:rPr>
          <w:rFonts w:cs="Times New Roman"/>
          <w:color w:val="000000" w:themeColor="text1"/>
        </w:rPr>
        <w:t>-</w:t>
      </w:r>
      <w:r w:rsidR="00E533AC" w:rsidRPr="009C673C">
        <w:rPr>
          <w:rFonts w:cs="Times New Roman"/>
          <w:color w:val="000000" w:themeColor="text1"/>
        </w:rPr>
        <w:t>13.250 and 16 Texas Administrative Code (TAC) §§ 24.225</w:t>
      </w:r>
      <w:r w:rsidR="00C149BD">
        <w:rPr>
          <w:rFonts w:cs="Times New Roman"/>
          <w:color w:val="000000" w:themeColor="text1"/>
        </w:rPr>
        <w:t>-</w:t>
      </w:r>
      <w:r w:rsidR="00E533AC" w:rsidRPr="009C673C">
        <w:rPr>
          <w:rFonts w:cs="Times New Roman"/>
          <w:color w:val="000000" w:themeColor="text1"/>
        </w:rPr>
        <w:t xml:space="preserve">24.237. </w:t>
      </w:r>
    </w:p>
    <w:p w14:paraId="1DE87F8B" w14:textId="0F0D1E5A" w:rsidR="00F97EE4" w:rsidRPr="009C673C" w:rsidRDefault="00F97EE4" w:rsidP="002243CD">
      <w:pPr>
        <w:ind w:left="2160" w:hanging="1440"/>
        <w:jc w:val="both"/>
        <w:rPr>
          <w:rFonts w:cs="Times New Roman"/>
          <w:color w:val="000000" w:themeColor="text1"/>
        </w:rPr>
      </w:pPr>
    </w:p>
    <w:p w14:paraId="70BC6A67" w14:textId="77777777" w:rsidR="00E401EE" w:rsidRPr="009C673C" w:rsidRDefault="00E401EE" w:rsidP="002243CD">
      <w:pPr>
        <w:ind w:left="2160" w:hanging="1440"/>
        <w:jc w:val="both"/>
        <w:rPr>
          <w:rFonts w:cs="Times New Roman"/>
          <w:b/>
          <w:bCs/>
          <w:color w:val="000000" w:themeColor="text1"/>
          <w:u w:val="single"/>
        </w:rPr>
      </w:pPr>
      <w:r w:rsidRPr="009C673C">
        <w:rPr>
          <w:rFonts w:cs="Times New Roman"/>
          <w:b/>
          <w:color w:val="000000" w:themeColor="text1"/>
          <w:u w:val="single"/>
        </w:rPr>
        <w:t>Background</w:t>
      </w:r>
    </w:p>
    <w:p w14:paraId="074AF5BF" w14:textId="425D6BE7" w:rsidR="00E401EE" w:rsidRPr="009C673C" w:rsidRDefault="00E401EE" w:rsidP="002243CD">
      <w:pPr>
        <w:ind w:left="720"/>
        <w:jc w:val="both"/>
        <w:rPr>
          <w:rFonts w:cs="Times New Roman"/>
          <w:color w:val="000000" w:themeColor="text1"/>
          <w:shd w:val="clear" w:color="auto" w:fill="FFFFFF"/>
        </w:rPr>
      </w:pPr>
      <w:r w:rsidRPr="009C673C">
        <w:rPr>
          <w:rFonts w:cs="Times New Roman"/>
          <w:noProof/>
          <w:color w:val="000000" w:themeColor="text1"/>
        </w:rPr>
        <w:t xml:space="preserve">The </w:t>
      </w:r>
      <w:r w:rsidRPr="009C673C">
        <w:rPr>
          <w:rFonts w:cs="Times New Roman"/>
          <w:color w:val="000000" w:themeColor="text1"/>
        </w:rPr>
        <w:t>Applicant</w:t>
      </w:r>
      <w:r w:rsidRPr="009C673C">
        <w:rPr>
          <w:rFonts w:cs="Times New Roman"/>
          <w:noProof/>
          <w:color w:val="000000" w:themeColor="text1"/>
        </w:rPr>
        <w:t xml:space="preserve"> </w:t>
      </w:r>
      <w:r w:rsidRPr="009C673C">
        <w:rPr>
          <w:rFonts w:cs="Times New Roman"/>
          <w:color w:val="000000" w:themeColor="text1"/>
        </w:rPr>
        <w:t xml:space="preserve">is seeking to </w:t>
      </w:r>
      <w:r w:rsidR="002A4734">
        <w:rPr>
          <w:rFonts w:cs="Times New Roman"/>
          <w:color w:val="000000" w:themeColor="text1"/>
        </w:rPr>
        <w:t>decertif</w:t>
      </w:r>
      <w:r w:rsidR="003F3800">
        <w:rPr>
          <w:rFonts w:cs="Times New Roman"/>
          <w:color w:val="000000" w:themeColor="text1"/>
        </w:rPr>
        <w:t>y a</w:t>
      </w:r>
      <w:r w:rsidR="002A4734">
        <w:rPr>
          <w:rFonts w:cs="Times New Roman"/>
          <w:color w:val="000000" w:themeColor="text1"/>
        </w:rPr>
        <w:t xml:space="preserve"> portion of </w:t>
      </w:r>
      <w:r w:rsidR="003F3800">
        <w:rPr>
          <w:rFonts w:cs="Times New Roman"/>
          <w:color w:val="000000" w:themeColor="text1"/>
        </w:rPr>
        <w:t xml:space="preserve">West Harrison WSC’s </w:t>
      </w:r>
      <w:r w:rsidRPr="009C673C">
        <w:rPr>
          <w:rFonts w:cs="Times New Roman"/>
          <w:color w:val="000000" w:themeColor="text1"/>
        </w:rPr>
        <w:t xml:space="preserve">water CCN </w:t>
      </w:r>
      <w:r w:rsidR="003F3800">
        <w:rPr>
          <w:rFonts w:cs="Times New Roman"/>
          <w:color w:val="000000" w:themeColor="text1"/>
        </w:rPr>
        <w:t xml:space="preserve">No. 12728 and amend to CCN No. 13200 </w:t>
      </w:r>
      <w:r w:rsidRPr="009C673C">
        <w:rPr>
          <w:rFonts w:cs="Times New Roman"/>
          <w:color w:val="000000" w:themeColor="text1"/>
        </w:rPr>
        <w:t xml:space="preserve">for the </w:t>
      </w:r>
      <w:r w:rsidR="003F3800">
        <w:rPr>
          <w:rFonts w:cs="Times New Roman"/>
          <w:color w:val="000000" w:themeColor="text1"/>
        </w:rPr>
        <w:t xml:space="preserve">water certificated </w:t>
      </w:r>
      <w:r w:rsidRPr="009C673C">
        <w:rPr>
          <w:rFonts w:cs="Times New Roman"/>
          <w:color w:val="000000" w:themeColor="text1"/>
        </w:rPr>
        <w:t xml:space="preserve">service area containing approximately </w:t>
      </w:r>
      <w:r w:rsidR="00B17CFC" w:rsidRPr="009C673C">
        <w:rPr>
          <w:rFonts w:cs="Times New Roman"/>
          <w:color w:val="000000" w:themeColor="text1"/>
        </w:rPr>
        <w:t xml:space="preserve">16 </w:t>
      </w:r>
      <w:r w:rsidRPr="009C673C">
        <w:rPr>
          <w:rFonts w:cs="Times New Roman"/>
          <w:color w:val="000000" w:themeColor="text1"/>
        </w:rPr>
        <w:t xml:space="preserve">acres and </w:t>
      </w:r>
      <w:r w:rsidR="00B17CFC" w:rsidRPr="009C673C">
        <w:rPr>
          <w:rFonts w:cs="Times New Roman"/>
          <w:color w:val="000000" w:themeColor="text1"/>
        </w:rPr>
        <w:t>24</w:t>
      </w:r>
      <w:r w:rsidRPr="009C673C">
        <w:rPr>
          <w:rFonts w:cs="Times New Roman"/>
          <w:color w:val="000000" w:themeColor="text1"/>
        </w:rPr>
        <w:t xml:space="preserve"> existing customers</w:t>
      </w:r>
      <w:r w:rsidR="00B17CFC" w:rsidRPr="009C673C">
        <w:rPr>
          <w:rFonts w:cs="Times New Roman"/>
          <w:color w:val="000000" w:themeColor="text1"/>
        </w:rPr>
        <w:t>.</w:t>
      </w:r>
      <w:r w:rsidRPr="009C673C">
        <w:rPr>
          <w:rFonts w:cs="Times New Roman"/>
          <w:color w:val="000000" w:themeColor="text1"/>
        </w:rPr>
        <w:t xml:space="preserve"> </w:t>
      </w:r>
    </w:p>
    <w:p w14:paraId="61C24B78" w14:textId="77777777" w:rsidR="00E401EE" w:rsidRPr="009C673C" w:rsidRDefault="00E401EE" w:rsidP="002243CD">
      <w:pPr>
        <w:ind w:left="720"/>
        <w:jc w:val="both"/>
        <w:rPr>
          <w:rFonts w:cs="Times New Roman"/>
          <w:color w:val="000000" w:themeColor="text1"/>
        </w:rPr>
      </w:pPr>
    </w:p>
    <w:p w14:paraId="75D62570" w14:textId="77777777" w:rsidR="00E401EE" w:rsidRPr="009C673C" w:rsidRDefault="00E401EE" w:rsidP="002243CD">
      <w:pPr>
        <w:ind w:left="2160" w:hanging="1440"/>
        <w:jc w:val="both"/>
        <w:rPr>
          <w:rFonts w:cs="Times New Roman"/>
          <w:b/>
          <w:color w:val="000000" w:themeColor="text1"/>
          <w:u w:val="single"/>
        </w:rPr>
      </w:pPr>
      <w:r w:rsidRPr="009C673C">
        <w:rPr>
          <w:rFonts w:cs="Times New Roman"/>
          <w:b/>
          <w:color w:val="000000" w:themeColor="text1"/>
          <w:u w:val="single"/>
        </w:rPr>
        <w:t>Notice</w:t>
      </w:r>
    </w:p>
    <w:p w14:paraId="33673AA4" w14:textId="35676159" w:rsidR="00E401EE" w:rsidRPr="009C673C" w:rsidRDefault="00E401EE" w:rsidP="002243CD">
      <w:pPr>
        <w:ind w:left="720"/>
        <w:jc w:val="both"/>
        <w:rPr>
          <w:rFonts w:cs="Times New Roman"/>
          <w:color w:val="000000" w:themeColor="text1"/>
        </w:rPr>
      </w:pPr>
      <w:r w:rsidRPr="009C673C">
        <w:rPr>
          <w:rFonts w:cs="Times New Roman"/>
          <w:color w:val="000000" w:themeColor="text1"/>
        </w:rPr>
        <w:t xml:space="preserve">The comment period ended </w:t>
      </w:r>
      <w:r w:rsidR="00B17CFC" w:rsidRPr="009C673C">
        <w:rPr>
          <w:rFonts w:cs="Times New Roman"/>
          <w:color w:val="000000" w:themeColor="text1"/>
        </w:rPr>
        <w:t>October 17,</w:t>
      </w:r>
      <w:r w:rsidR="00C149BD">
        <w:rPr>
          <w:rFonts w:cs="Times New Roman"/>
          <w:color w:val="000000" w:themeColor="text1"/>
        </w:rPr>
        <w:t xml:space="preserve"> </w:t>
      </w:r>
      <w:r w:rsidR="00B17CFC" w:rsidRPr="009C673C">
        <w:rPr>
          <w:rFonts w:cs="Times New Roman"/>
          <w:color w:val="000000" w:themeColor="text1"/>
        </w:rPr>
        <w:t>2019</w:t>
      </w:r>
      <w:r w:rsidRPr="009C673C">
        <w:rPr>
          <w:rFonts w:cs="Times New Roman"/>
          <w:color w:val="000000" w:themeColor="text1"/>
        </w:rPr>
        <w:t>, and no protests or opt-out requests were received.</w:t>
      </w:r>
    </w:p>
    <w:p w14:paraId="1A417049" w14:textId="77777777" w:rsidR="00E401EE" w:rsidRPr="009C673C" w:rsidRDefault="00E401EE" w:rsidP="002243CD">
      <w:pPr>
        <w:ind w:left="720"/>
        <w:jc w:val="both"/>
        <w:rPr>
          <w:rFonts w:cs="Times New Roman"/>
          <w:color w:val="000000" w:themeColor="text1"/>
        </w:rPr>
      </w:pPr>
    </w:p>
    <w:p w14:paraId="5B7D57AA" w14:textId="77777777" w:rsidR="00E401EE" w:rsidRPr="009C673C" w:rsidRDefault="00E401EE" w:rsidP="002243CD">
      <w:pPr>
        <w:ind w:left="720"/>
        <w:jc w:val="both"/>
        <w:rPr>
          <w:rFonts w:cs="Times New Roman"/>
          <w:b/>
          <w:color w:val="000000" w:themeColor="text1"/>
          <w:u w:val="single"/>
        </w:rPr>
      </w:pPr>
      <w:r w:rsidRPr="009C673C">
        <w:rPr>
          <w:rFonts w:cs="Times New Roman"/>
          <w:b/>
          <w:color w:val="000000" w:themeColor="text1"/>
          <w:u w:val="single"/>
        </w:rPr>
        <w:t>Criteria Considered</w:t>
      </w:r>
    </w:p>
    <w:p w14:paraId="729908F8" w14:textId="77777777" w:rsidR="00E401EE" w:rsidRPr="009C673C" w:rsidRDefault="00E401EE" w:rsidP="002243CD">
      <w:pPr>
        <w:ind w:left="720"/>
        <w:jc w:val="both"/>
        <w:rPr>
          <w:rFonts w:cs="Times New Roman"/>
          <w:color w:val="000000" w:themeColor="text1"/>
        </w:rPr>
      </w:pPr>
      <w:r w:rsidRPr="009C673C">
        <w:rPr>
          <w:rFonts w:cs="Times New Roman"/>
          <w:color w:val="000000" w:themeColor="text1"/>
        </w:rPr>
        <w:t>TWC § 13.246(c) requires the Commission to consider nine criteria when granting or amending a CCN.  Therefore, the following criteria were considered:</w:t>
      </w:r>
    </w:p>
    <w:p w14:paraId="73FA07BA" w14:textId="77777777" w:rsidR="00E401EE" w:rsidRPr="009C673C" w:rsidRDefault="00E401EE" w:rsidP="002243CD">
      <w:pPr>
        <w:pStyle w:val="BodyText"/>
        <w:spacing w:after="0"/>
        <w:ind w:left="720"/>
        <w:jc w:val="both"/>
        <w:rPr>
          <w:rFonts w:ascii="Times New Roman" w:hAnsi="Times New Roman" w:cs="Times New Roman"/>
          <w:b/>
          <w:i/>
          <w:color w:val="000000" w:themeColor="text1"/>
        </w:rPr>
      </w:pPr>
    </w:p>
    <w:p w14:paraId="5A0771AA" w14:textId="77777777" w:rsidR="00E401EE" w:rsidRPr="009C673C" w:rsidRDefault="00E401EE" w:rsidP="002243CD">
      <w:pPr>
        <w:pStyle w:val="BodyText"/>
        <w:spacing w:after="0"/>
        <w:ind w:left="720"/>
        <w:jc w:val="both"/>
        <w:rPr>
          <w:rFonts w:ascii="Times New Roman" w:hAnsi="Times New Roman" w:cs="Times New Roman"/>
          <w:color w:val="000000" w:themeColor="text1"/>
        </w:rPr>
      </w:pPr>
      <w:r w:rsidRPr="009C673C">
        <w:rPr>
          <w:rFonts w:ascii="Times New Roman" w:hAnsi="Times New Roman" w:cs="Times New Roman"/>
          <w:b/>
          <w:i/>
          <w:color w:val="000000" w:themeColor="text1"/>
        </w:rPr>
        <w:t>TWC § 13.246(c)(1) requires the commission to consider the adequacy of service currently provided to the requested area.</w:t>
      </w:r>
      <w:r w:rsidRPr="009C673C">
        <w:rPr>
          <w:rFonts w:ascii="Times New Roman" w:hAnsi="Times New Roman" w:cs="Times New Roman"/>
          <w:color w:val="000000" w:themeColor="text1"/>
        </w:rPr>
        <w:t xml:space="preserve">  </w:t>
      </w:r>
    </w:p>
    <w:p w14:paraId="6AA073C7" w14:textId="3C1CC56B" w:rsidR="00E401EE" w:rsidRPr="009C673C" w:rsidRDefault="00B17CFC" w:rsidP="002243CD">
      <w:pPr>
        <w:ind w:left="720"/>
        <w:jc w:val="both"/>
        <w:rPr>
          <w:rFonts w:cs="Times New Roman"/>
          <w:color w:val="000000" w:themeColor="text1"/>
        </w:rPr>
      </w:pPr>
      <w:r w:rsidRPr="009C673C">
        <w:rPr>
          <w:rFonts w:cs="Times New Roman"/>
          <w:noProof/>
          <w:color w:val="000000" w:themeColor="text1"/>
        </w:rPr>
        <w:t xml:space="preserve">The requested area currently receives service from the Applicant. </w:t>
      </w:r>
    </w:p>
    <w:p w14:paraId="28867E26" w14:textId="77777777" w:rsidR="00E401EE" w:rsidRPr="009C673C" w:rsidRDefault="00E401EE" w:rsidP="002243CD">
      <w:pPr>
        <w:ind w:left="720"/>
        <w:jc w:val="both"/>
        <w:rPr>
          <w:rFonts w:cs="Times New Roman"/>
          <w:color w:val="000000" w:themeColor="text1"/>
        </w:rPr>
      </w:pPr>
    </w:p>
    <w:p w14:paraId="4AA23E03" w14:textId="77777777" w:rsidR="00E401EE" w:rsidRPr="009C673C" w:rsidRDefault="00E401EE" w:rsidP="002243CD">
      <w:pPr>
        <w:pStyle w:val="NoSpacing"/>
        <w:ind w:left="720"/>
        <w:contextualSpacing/>
        <w:jc w:val="both"/>
        <w:rPr>
          <w:rFonts w:cs="Times New Roman"/>
          <w:color w:val="000000" w:themeColor="text1"/>
        </w:rPr>
      </w:pPr>
      <w:r w:rsidRPr="009C673C">
        <w:rPr>
          <w:rFonts w:cs="Times New Roman"/>
          <w:b/>
          <w:i/>
          <w:iCs/>
          <w:color w:val="000000" w:themeColor="text1"/>
        </w:rPr>
        <w:t>TWC § 13.246(c)(2) requires the commission to consider the need for service in the requested area.</w:t>
      </w:r>
      <w:r w:rsidRPr="009C673C">
        <w:rPr>
          <w:rFonts w:cs="Times New Roman"/>
          <w:color w:val="000000" w:themeColor="text1"/>
        </w:rPr>
        <w:t xml:space="preserve">  </w:t>
      </w:r>
    </w:p>
    <w:p w14:paraId="4206A6B3" w14:textId="50CD94B5" w:rsidR="00E401EE" w:rsidRPr="009C673C" w:rsidRDefault="001D3CB4" w:rsidP="002243CD">
      <w:pPr>
        <w:autoSpaceDE w:val="0"/>
        <w:autoSpaceDN w:val="0"/>
        <w:adjustRightInd w:val="0"/>
        <w:ind w:left="720"/>
        <w:jc w:val="both"/>
        <w:rPr>
          <w:rFonts w:cs="Times New Roman"/>
          <w:color w:val="000000" w:themeColor="text1"/>
        </w:rPr>
      </w:pPr>
      <w:r w:rsidRPr="009C673C">
        <w:rPr>
          <w:rFonts w:eastAsiaTheme="minorHAnsi" w:cs="Times New Roman"/>
          <w:color w:val="000000" w:themeColor="text1"/>
        </w:rPr>
        <w:t xml:space="preserve">The City of Hallsville serves approximately 1,588 current customers and provides safe and reliable water </w:t>
      </w:r>
      <w:r w:rsidR="00457514" w:rsidRPr="009C673C">
        <w:rPr>
          <w:rFonts w:eastAsiaTheme="minorHAnsi" w:cs="Times New Roman"/>
          <w:color w:val="000000" w:themeColor="text1"/>
        </w:rPr>
        <w:t xml:space="preserve">services </w:t>
      </w:r>
      <w:r w:rsidRPr="009C673C">
        <w:rPr>
          <w:rFonts w:eastAsiaTheme="minorHAnsi" w:cs="Times New Roman"/>
          <w:color w:val="000000" w:themeColor="text1"/>
        </w:rPr>
        <w:t xml:space="preserve">to all </w:t>
      </w:r>
      <w:r w:rsidR="009C673C" w:rsidRPr="009C673C">
        <w:rPr>
          <w:rFonts w:eastAsiaTheme="minorHAnsi" w:cs="Times New Roman"/>
          <w:color w:val="000000" w:themeColor="text1"/>
        </w:rPr>
        <w:t xml:space="preserve">the </w:t>
      </w:r>
      <w:r w:rsidRPr="009C673C">
        <w:rPr>
          <w:rFonts w:eastAsiaTheme="minorHAnsi" w:cs="Times New Roman"/>
          <w:color w:val="000000" w:themeColor="text1"/>
        </w:rPr>
        <w:t>customers. A developer has built a subdivision inside the city limits of Hallsville. A small portion of the new subdivision is inside West Harrison WSC</w:t>
      </w:r>
      <w:r w:rsidR="009C673C" w:rsidRPr="009C673C">
        <w:rPr>
          <w:rFonts w:eastAsiaTheme="minorHAnsi" w:cs="Times New Roman"/>
          <w:color w:val="000000" w:themeColor="text1"/>
        </w:rPr>
        <w:t>’s</w:t>
      </w:r>
      <w:r w:rsidRPr="009C673C">
        <w:rPr>
          <w:rFonts w:eastAsiaTheme="minorHAnsi" w:cs="Times New Roman"/>
          <w:color w:val="000000" w:themeColor="text1"/>
        </w:rPr>
        <w:t xml:space="preserve"> CCN service area. West Harrison WSC has agreed to give the City of Hallsville this portion so all members inside the new subdivision can be served by the City of Hallsville. Applicant mentioned that </w:t>
      </w:r>
      <w:r w:rsidR="000B67AF">
        <w:rPr>
          <w:rFonts w:eastAsiaTheme="minorHAnsi" w:cs="Times New Roman"/>
          <w:color w:val="000000" w:themeColor="text1"/>
        </w:rPr>
        <w:t xml:space="preserve">the public water </w:t>
      </w:r>
      <w:r w:rsidRPr="009C673C">
        <w:rPr>
          <w:rFonts w:eastAsiaTheme="minorHAnsi" w:cs="Times New Roman"/>
          <w:color w:val="000000" w:themeColor="text1"/>
        </w:rPr>
        <w:t>system serving the requested area purchase</w:t>
      </w:r>
      <w:r w:rsidR="00EA6FA2">
        <w:rPr>
          <w:rFonts w:eastAsiaTheme="minorHAnsi" w:cs="Times New Roman"/>
          <w:color w:val="000000" w:themeColor="text1"/>
        </w:rPr>
        <w:t>s</w:t>
      </w:r>
      <w:r w:rsidRPr="009C673C">
        <w:rPr>
          <w:rFonts w:eastAsiaTheme="minorHAnsi" w:cs="Times New Roman"/>
          <w:color w:val="000000" w:themeColor="text1"/>
        </w:rPr>
        <w:t xml:space="preserve"> water or sewer treatment capacity from </w:t>
      </w:r>
      <w:r w:rsidR="00EA6FA2">
        <w:rPr>
          <w:rFonts w:eastAsiaTheme="minorHAnsi" w:cs="Times New Roman"/>
          <w:color w:val="000000" w:themeColor="text1"/>
        </w:rPr>
        <w:t xml:space="preserve">the </w:t>
      </w:r>
      <w:r w:rsidRPr="009C673C">
        <w:rPr>
          <w:rFonts w:eastAsiaTheme="minorHAnsi" w:cs="Times New Roman"/>
          <w:color w:val="000000" w:themeColor="text1"/>
        </w:rPr>
        <w:t>City of Longview.</w:t>
      </w:r>
      <w:r w:rsidR="005C05F4">
        <w:rPr>
          <w:rFonts w:eastAsiaTheme="minorHAnsi" w:cs="Times New Roman"/>
          <w:color w:val="000000" w:themeColor="text1"/>
        </w:rPr>
        <w:t xml:space="preserve"> Applicant also provided the purchase water contract agreement with the application.</w:t>
      </w:r>
      <w:r w:rsidRPr="009C673C">
        <w:rPr>
          <w:rFonts w:eastAsiaTheme="minorHAnsi" w:cs="Times New Roman"/>
          <w:color w:val="000000" w:themeColor="text1"/>
        </w:rPr>
        <w:t xml:space="preserve"> </w:t>
      </w:r>
      <w:r w:rsidR="00E401EE" w:rsidRPr="009C673C">
        <w:rPr>
          <w:rFonts w:cs="Times New Roman"/>
          <w:color w:val="000000" w:themeColor="text1"/>
        </w:rPr>
        <w:t xml:space="preserve">In addition, there is a service agreement between the City of </w:t>
      </w:r>
      <w:r w:rsidR="000A5839" w:rsidRPr="009C673C">
        <w:rPr>
          <w:rFonts w:eastAsiaTheme="minorHAnsi" w:cs="Times New Roman"/>
          <w:color w:val="000000" w:themeColor="text1"/>
        </w:rPr>
        <w:t xml:space="preserve">Hallsville </w:t>
      </w:r>
      <w:r w:rsidR="000A5839" w:rsidRPr="009C673C">
        <w:rPr>
          <w:rFonts w:cs="Times New Roman"/>
          <w:color w:val="000000" w:themeColor="text1"/>
        </w:rPr>
        <w:t xml:space="preserve">and </w:t>
      </w:r>
      <w:r w:rsidR="000A5839" w:rsidRPr="009C673C">
        <w:rPr>
          <w:rFonts w:eastAsiaTheme="minorHAnsi" w:cs="Times New Roman"/>
          <w:color w:val="000000" w:themeColor="text1"/>
        </w:rPr>
        <w:t>West Harrison Water Supply Corporation</w:t>
      </w:r>
      <w:r w:rsidRPr="009C673C">
        <w:rPr>
          <w:rFonts w:eastAsiaTheme="minorHAnsi" w:cs="Times New Roman"/>
          <w:color w:val="000000" w:themeColor="text1"/>
        </w:rPr>
        <w:t xml:space="preserve"> for </w:t>
      </w:r>
      <w:r w:rsidR="00EA6FA2">
        <w:rPr>
          <w:rFonts w:eastAsiaTheme="minorHAnsi" w:cs="Times New Roman"/>
          <w:color w:val="000000" w:themeColor="text1"/>
        </w:rPr>
        <w:t>a</w:t>
      </w:r>
      <w:r w:rsidR="00EA6FA2" w:rsidRPr="009C673C">
        <w:rPr>
          <w:rFonts w:eastAsiaTheme="minorHAnsi" w:cs="Times New Roman"/>
          <w:color w:val="000000" w:themeColor="text1"/>
        </w:rPr>
        <w:t xml:space="preserve"> </w:t>
      </w:r>
      <w:r w:rsidRPr="009C673C">
        <w:rPr>
          <w:rFonts w:eastAsiaTheme="minorHAnsi" w:cs="Times New Roman"/>
          <w:color w:val="000000" w:themeColor="text1"/>
        </w:rPr>
        <w:t xml:space="preserve">reliable and continuous supply of water services. </w:t>
      </w:r>
      <w:r w:rsidR="000A5839" w:rsidRPr="009C673C">
        <w:rPr>
          <w:rFonts w:eastAsiaTheme="minorHAnsi" w:cs="Times New Roman"/>
          <w:color w:val="000000" w:themeColor="text1"/>
        </w:rPr>
        <w:t xml:space="preserve"> </w:t>
      </w:r>
    </w:p>
    <w:bookmarkEnd w:id="0"/>
    <w:p w14:paraId="1435EEBB" w14:textId="77777777" w:rsidR="00E401EE" w:rsidRPr="009C673C" w:rsidRDefault="00E401EE" w:rsidP="002243CD">
      <w:pPr>
        <w:pStyle w:val="NoSpacing"/>
        <w:ind w:left="720"/>
        <w:jc w:val="both"/>
        <w:rPr>
          <w:rFonts w:cs="Times New Roman"/>
          <w:color w:val="000000" w:themeColor="text1"/>
        </w:rPr>
      </w:pPr>
    </w:p>
    <w:p w14:paraId="477F68E4" w14:textId="77777777" w:rsidR="00E401EE" w:rsidRPr="009C673C" w:rsidRDefault="00E401EE" w:rsidP="002243CD">
      <w:pPr>
        <w:pStyle w:val="NoSpacing"/>
        <w:ind w:left="720"/>
        <w:contextualSpacing/>
        <w:jc w:val="both"/>
        <w:rPr>
          <w:rFonts w:cs="Times New Roman"/>
          <w:iCs/>
          <w:color w:val="000000" w:themeColor="text1"/>
        </w:rPr>
      </w:pPr>
      <w:r w:rsidRPr="009C673C">
        <w:rPr>
          <w:rFonts w:cs="Times New Roman"/>
          <w:b/>
          <w:i/>
          <w:iCs/>
          <w:color w:val="000000" w:themeColor="text1"/>
        </w:rPr>
        <w:t>TWC § 13.246(c)(3) requires the commission to consider the effect of granting an amendment on the recipient and on any other retail public utility servicing the proximate area.</w:t>
      </w:r>
      <w:r w:rsidRPr="009C673C">
        <w:rPr>
          <w:rFonts w:cs="Times New Roman"/>
          <w:iCs/>
          <w:color w:val="000000" w:themeColor="text1"/>
        </w:rPr>
        <w:t xml:space="preserve">  </w:t>
      </w:r>
    </w:p>
    <w:p w14:paraId="7DE7D129" w14:textId="6BC397DA" w:rsidR="00E401EE" w:rsidRPr="009C673C" w:rsidRDefault="00EA6FA2" w:rsidP="002243CD">
      <w:pPr>
        <w:pStyle w:val="NoSpacing"/>
        <w:ind w:left="720"/>
        <w:contextualSpacing/>
        <w:jc w:val="both"/>
        <w:rPr>
          <w:rFonts w:cs="Times New Roman"/>
          <w:color w:val="000000" w:themeColor="text1"/>
        </w:rPr>
      </w:pPr>
      <w:r>
        <w:rPr>
          <w:rFonts w:cs="Times New Roman"/>
          <w:color w:val="000000" w:themeColor="text1"/>
        </w:rPr>
        <w:t>According</w:t>
      </w:r>
      <w:r w:rsidRPr="009C673C">
        <w:rPr>
          <w:rFonts w:cs="Times New Roman"/>
          <w:color w:val="000000" w:themeColor="text1"/>
        </w:rPr>
        <w:t xml:space="preserve"> </w:t>
      </w:r>
      <w:r w:rsidR="00E401EE" w:rsidRPr="009C673C">
        <w:rPr>
          <w:rFonts w:cs="Times New Roman"/>
          <w:color w:val="000000" w:themeColor="text1"/>
        </w:rPr>
        <w:t xml:space="preserve">to </w:t>
      </w:r>
      <w:r>
        <w:rPr>
          <w:rFonts w:cs="Times New Roman"/>
          <w:color w:val="000000" w:themeColor="text1"/>
        </w:rPr>
        <w:t>the</w:t>
      </w:r>
      <w:r w:rsidRPr="009C673C">
        <w:rPr>
          <w:rFonts w:cs="Times New Roman"/>
          <w:color w:val="000000" w:themeColor="text1"/>
        </w:rPr>
        <w:t xml:space="preserve"> </w:t>
      </w:r>
      <w:r w:rsidR="00E401EE" w:rsidRPr="009C673C">
        <w:rPr>
          <w:rFonts w:cs="Times New Roman"/>
          <w:color w:val="000000" w:themeColor="text1"/>
        </w:rPr>
        <w:t>settlement agreement</w:t>
      </w:r>
      <w:r>
        <w:rPr>
          <w:rFonts w:cs="Times New Roman"/>
          <w:color w:val="000000" w:themeColor="text1"/>
        </w:rPr>
        <w:t xml:space="preserve"> included with the ap</w:t>
      </w:r>
      <w:r w:rsidR="00957C95">
        <w:rPr>
          <w:rFonts w:cs="Times New Roman"/>
          <w:color w:val="000000" w:themeColor="text1"/>
        </w:rPr>
        <w:t>plication</w:t>
      </w:r>
      <w:r w:rsidR="00E401EE" w:rsidRPr="009C673C">
        <w:rPr>
          <w:rFonts w:cs="Times New Roman"/>
          <w:color w:val="000000" w:themeColor="text1"/>
        </w:rPr>
        <w:t xml:space="preserve">, the parties agreed that </w:t>
      </w:r>
      <w:r w:rsidR="00ED15A0" w:rsidRPr="009C673C">
        <w:rPr>
          <w:rFonts w:cs="Times New Roman"/>
          <w:color w:val="000000" w:themeColor="text1"/>
        </w:rPr>
        <w:t xml:space="preserve">City of </w:t>
      </w:r>
      <w:r w:rsidR="00ED15A0" w:rsidRPr="009C673C">
        <w:rPr>
          <w:rFonts w:eastAsiaTheme="minorHAnsi" w:cs="Times New Roman"/>
          <w:color w:val="000000" w:themeColor="text1"/>
        </w:rPr>
        <w:t>Hallsville</w:t>
      </w:r>
      <w:r w:rsidR="00E401EE" w:rsidRPr="009C673C">
        <w:rPr>
          <w:rFonts w:cs="Times New Roman"/>
          <w:color w:val="000000" w:themeColor="text1"/>
        </w:rPr>
        <w:t xml:space="preserve"> shall be the sole provider of the water service area</w:t>
      </w:r>
      <w:r w:rsidR="00ED15A0" w:rsidRPr="009C673C">
        <w:rPr>
          <w:rFonts w:cs="Times New Roman"/>
          <w:color w:val="000000" w:themeColor="text1"/>
        </w:rPr>
        <w:t xml:space="preserve">. </w:t>
      </w:r>
      <w:r w:rsidR="00E401EE" w:rsidRPr="009C673C">
        <w:rPr>
          <w:rFonts w:cs="Times New Roman"/>
          <w:color w:val="000000" w:themeColor="text1"/>
        </w:rPr>
        <w:t xml:space="preserve">  </w:t>
      </w:r>
    </w:p>
    <w:p w14:paraId="41500609" w14:textId="77777777" w:rsidR="00E401EE" w:rsidRPr="009C673C" w:rsidRDefault="00E401EE" w:rsidP="002243CD">
      <w:pPr>
        <w:pStyle w:val="NoSpacing"/>
        <w:ind w:left="720"/>
        <w:contextualSpacing/>
        <w:jc w:val="both"/>
        <w:rPr>
          <w:rFonts w:cs="Times New Roman"/>
          <w:color w:val="000000" w:themeColor="text1"/>
        </w:rPr>
      </w:pPr>
    </w:p>
    <w:p w14:paraId="36044FBA" w14:textId="77777777" w:rsidR="00E401EE" w:rsidRPr="009C673C" w:rsidRDefault="00E401EE" w:rsidP="002243CD">
      <w:pPr>
        <w:ind w:left="720"/>
        <w:jc w:val="both"/>
        <w:rPr>
          <w:rFonts w:cs="Times New Roman"/>
          <w:b/>
          <w:i/>
          <w:iCs/>
          <w:color w:val="000000" w:themeColor="text1"/>
        </w:rPr>
      </w:pPr>
      <w:r w:rsidRPr="009C673C">
        <w:rPr>
          <w:rFonts w:cs="Times New Roman"/>
          <w:b/>
          <w:i/>
          <w:iCs/>
          <w:color w:val="000000" w:themeColor="text1"/>
        </w:rPr>
        <w:t xml:space="preserve">TWC § 13.246(c)(4) requires the commission to consider the ability of the Applicant to provide adequate service. </w:t>
      </w:r>
    </w:p>
    <w:p w14:paraId="4C7F41DE" w14:textId="4F83952F" w:rsidR="000A5839" w:rsidRPr="009C673C" w:rsidRDefault="00CD2731" w:rsidP="002243CD">
      <w:pPr>
        <w:ind w:left="720"/>
        <w:jc w:val="both"/>
        <w:rPr>
          <w:rFonts w:cs="Times New Roman"/>
          <w:color w:val="000000" w:themeColor="text1"/>
        </w:rPr>
      </w:pPr>
      <w:r w:rsidRPr="009C673C">
        <w:rPr>
          <w:rFonts w:eastAsiaTheme="minorHAnsi" w:cs="Times New Roman"/>
          <w:color w:val="000000" w:themeColor="text1"/>
        </w:rPr>
        <w:t xml:space="preserve">Staff recommends that the Applicant meets the requirements of </w:t>
      </w:r>
      <w:r w:rsidRPr="009C673C">
        <w:rPr>
          <w:rFonts w:cs="Times New Roman"/>
          <w:color w:val="000000" w:themeColor="text1"/>
        </w:rPr>
        <w:t xml:space="preserve">16 TAC §24.227(a)(1) since it </w:t>
      </w:r>
      <w:r w:rsidRPr="009C673C">
        <w:rPr>
          <w:rFonts w:eastAsiaTheme="minorHAnsi" w:cs="Times New Roman"/>
          <w:color w:val="000000" w:themeColor="text1"/>
        </w:rPr>
        <w:t>has a</w:t>
      </w:r>
      <w:r w:rsidR="00957C95">
        <w:rPr>
          <w:rFonts w:eastAsiaTheme="minorHAnsi" w:cs="Times New Roman"/>
          <w:color w:val="000000" w:themeColor="text1"/>
        </w:rPr>
        <w:t xml:space="preserve"> public water system registered with the Texas Commission on Environmental Quality</w:t>
      </w:r>
      <w:r w:rsidRPr="009C673C">
        <w:rPr>
          <w:rFonts w:eastAsiaTheme="minorHAnsi" w:cs="Times New Roman"/>
          <w:color w:val="000000" w:themeColor="text1"/>
        </w:rPr>
        <w:t xml:space="preserve"> </w:t>
      </w:r>
      <w:r w:rsidR="002B169B">
        <w:rPr>
          <w:rFonts w:eastAsiaTheme="minorHAnsi" w:cs="Times New Roman"/>
          <w:color w:val="000000" w:themeColor="text1"/>
        </w:rPr>
        <w:t>(</w:t>
      </w:r>
      <w:r w:rsidRPr="009C673C">
        <w:rPr>
          <w:rFonts w:eastAsiaTheme="minorHAnsi" w:cs="Times New Roman"/>
          <w:color w:val="000000" w:themeColor="text1"/>
        </w:rPr>
        <w:t>TCEQ</w:t>
      </w:r>
      <w:r w:rsidR="002B169B">
        <w:rPr>
          <w:rFonts w:eastAsiaTheme="minorHAnsi" w:cs="Times New Roman"/>
          <w:color w:val="000000" w:themeColor="text1"/>
        </w:rPr>
        <w:t>)</w:t>
      </w:r>
      <w:r w:rsidRPr="009C673C">
        <w:rPr>
          <w:rFonts w:eastAsiaTheme="minorHAnsi" w:cs="Times New Roman"/>
          <w:color w:val="000000" w:themeColor="text1"/>
        </w:rPr>
        <w:t xml:space="preserve"> </w:t>
      </w:r>
      <w:r w:rsidR="002B169B">
        <w:rPr>
          <w:rFonts w:cs="Times New Roman"/>
          <w:color w:val="000000" w:themeColor="text1"/>
        </w:rPr>
        <w:t xml:space="preserve">under </w:t>
      </w:r>
      <w:r w:rsidRPr="009C673C">
        <w:rPr>
          <w:rFonts w:eastAsiaTheme="minorHAnsi" w:cs="Times New Roman"/>
          <w:color w:val="000000" w:themeColor="text1"/>
        </w:rPr>
        <w:t xml:space="preserve">PWS ID No. </w:t>
      </w:r>
      <w:r w:rsidRPr="009C673C">
        <w:rPr>
          <w:rFonts w:cs="Times New Roman"/>
          <w:color w:val="000000" w:themeColor="text1"/>
        </w:rPr>
        <w:t>1020004</w:t>
      </w:r>
      <w:r w:rsidR="002B169B">
        <w:rPr>
          <w:rFonts w:cs="Times New Roman"/>
          <w:color w:val="000000" w:themeColor="text1"/>
        </w:rPr>
        <w:t>. The public water system</w:t>
      </w:r>
      <w:r w:rsidRPr="009C673C">
        <w:rPr>
          <w:rFonts w:cs="Times New Roman"/>
          <w:color w:val="000000" w:themeColor="text1"/>
        </w:rPr>
        <w:t xml:space="preserve"> is capable of providing drinking water that meets the requirements of Texas Health and Safety Code, Chapter 341 and TCEQ rules and has access to an adequate supply of water. </w:t>
      </w:r>
      <w:r w:rsidR="002B169B">
        <w:rPr>
          <w:rFonts w:cs="Times New Roman"/>
          <w:color w:val="000000" w:themeColor="text1"/>
        </w:rPr>
        <w:t xml:space="preserve">The </w:t>
      </w:r>
      <w:r w:rsidRPr="009C673C">
        <w:rPr>
          <w:rFonts w:cs="Times New Roman"/>
          <w:color w:val="000000" w:themeColor="text1"/>
        </w:rPr>
        <w:t xml:space="preserve">City of Hallsville </w:t>
      </w:r>
      <w:r w:rsidRPr="009C673C">
        <w:rPr>
          <w:rFonts w:eastAsiaTheme="minorHAnsi" w:cs="Times New Roman"/>
          <w:color w:val="000000" w:themeColor="text1"/>
        </w:rPr>
        <w:t>also has no outstanding violations</w:t>
      </w:r>
      <w:r w:rsidR="000A5839" w:rsidRPr="009C673C">
        <w:rPr>
          <w:rFonts w:eastAsiaTheme="minorHAnsi" w:cs="Times New Roman"/>
          <w:color w:val="000000" w:themeColor="text1"/>
        </w:rPr>
        <w:t xml:space="preserve"> </w:t>
      </w:r>
      <w:r w:rsidR="000A5839" w:rsidRPr="009C673C">
        <w:rPr>
          <w:rFonts w:cs="Times New Roman"/>
          <w:color w:val="000000" w:themeColor="text1"/>
        </w:rPr>
        <w:t xml:space="preserve">listed in the TCEQ database. </w:t>
      </w:r>
    </w:p>
    <w:p w14:paraId="4CB6ACF3" w14:textId="77777777" w:rsidR="00E401EE" w:rsidRPr="009C673C" w:rsidRDefault="00E401EE" w:rsidP="002243CD">
      <w:pPr>
        <w:ind w:left="720"/>
        <w:jc w:val="both"/>
        <w:rPr>
          <w:rFonts w:cs="Times New Roman"/>
          <w:color w:val="000000" w:themeColor="text1"/>
        </w:rPr>
      </w:pPr>
    </w:p>
    <w:p w14:paraId="1715C9A3" w14:textId="77777777" w:rsidR="00E401EE" w:rsidRPr="009C673C" w:rsidRDefault="00E401EE" w:rsidP="002243CD">
      <w:pPr>
        <w:ind w:left="720"/>
        <w:jc w:val="both"/>
        <w:rPr>
          <w:rFonts w:cs="Times New Roman"/>
          <w:color w:val="000000" w:themeColor="text1"/>
        </w:rPr>
      </w:pPr>
      <w:r w:rsidRPr="009C673C">
        <w:rPr>
          <w:rFonts w:cs="Times New Roman"/>
          <w:b/>
          <w:i/>
          <w:iCs/>
          <w:color w:val="000000" w:themeColor="text1"/>
        </w:rPr>
        <w:t>TWC § 13.246(c)(5) requires the commission to consider the feasibility of obtaining service from an adjacent retail public utility.</w:t>
      </w:r>
      <w:r w:rsidRPr="009C673C">
        <w:rPr>
          <w:rFonts w:cs="Times New Roman"/>
          <w:iCs/>
          <w:color w:val="000000" w:themeColor="text1"/>
        </w:rPr>
        <w:t xml:space="preserve">  </w:t>
      </w:r>
      <w:r w:rsidRPr="009C673C">
        <w:rPr>
          <w:rFonts w:cs="Times New Roman"/>
          <w:color w:val="000000" w:themeColor="text1"/>
        </w:rPr>
        <w:t xml:space="preserve"> </w:t>
      </w:r>
    </w:p>
    <w:p w14:paraId="20E0200C" w14:textId="09786B93" w:rsidR="00ED15A0" w:rsidRPr="009C673C" w:rsidRDefault="00D46D84" w:rsidP="002243CD">
      <w:pPr>
        <w:pStyle w:val="NoSpacing"/>
        <w:ind w:left="720"/>
        <w:contextualSpacing/>
        <w:jc w:val="both"/>
        <w:rPr>
          <w:rFonts w:cs="Times New Roman"/>
          <w:color w:val="000000" w:themeColor="text1"/>
        </w:rPr>
      </w:pPr>
      <w:r>
        <w:rPr>
          <w:rFonts w:cs="Times New Roman"/>
          <w:color w:val="000000" w:themeColor="text1"/>
        </w:rPr>
        <w:t>According</w:t>
      </w:r>
      <w:r w:rsidRPr="009C673C">
        <w:rPr>
          <w:rFonts w:cs="Times New Roman"/>
          <w:color w:val="000000" w:themeColor="text1"/>
        </w:rPr>
        <w:t xml:space="preserve"> </w:t>
      </w:r>
      <w:r w:rsidR="00ED15A0" w:rsidRPr="009C673C">
        <w:rPr>
          <w:rFonts w:cs="Times New Roman"/>
          <w:color w:val="000000" w:themeColor="text1"/>
        </w:rPr>
        <w:t xml:space="preserve">to </w:t>
      </w:r>
      <w:r>
        <w:rPr>
          <w:rFonts w:cs="Times New Roman"/>
          <w:color w:val="000000" w:themeColor="text1"/>
        </w:rPr>
        <w:t>the</w:t>
      </w:r>
      <w:r w:rsidRPr="009C673C">
        <w:rPr>
          <w:rFonts w:cs="Times New Roman"/>
          <w:color w:val="000000" w:themeColor="text1"/>
        </w:rPr>
        <w:t xml:space="preserve"> </w:t>
      </w:r>
      <w:r w:rsidR="00ED15A0" w:rsidRPr="009C673C">
        <w:rPr>
          <w:rFonts w:cs="Times New Roman"/>
          <w:color w:val="000000" w:themeColor="text1"/>
        </w:rPr>
        <w:t xml:space="preserve">settlement agreement, the parties agreed that City of </w:t>
      </w:r>
      <w:r w:rsidR="00ED15A0" w:rsidRPr="009C673C">
        <w:rPr>
          <w:rFonts w:eastAsiaTheme="minorHAnsi" w:cs="Times New Roman"/>
          <w:color w:val="000000" w:themeColor="text1"/>
        </w:rPr>
        <w:t>Hallsville</w:t>
      </w:r>
      <w:r w:rsidR="00ED15A0" w:rsidRPr="009C673C">
        <w:rPr>
          <w:rFonts w:cs="Times New Roman"/>
          <w:color w:val="000000" w:themeColor="text1"/>
        </w:rPr>
        <w:t xml:space="preserve"> shall be the sole provider of the water service area.   </w:t>
      </w:r>
    </w:p>
    <w:p w14:paraId="260F128B" w14:textId="77777777" w:rsidR="00E401EE" w:rsidRPr="009C673C" w:rsidRDefault="00E401EE" w:rsidP="002243CD">
      <w:pPr>
        <w:pStyle w:val="NoSpacing"/>
        <w:ind w:left="720"/>
        <w:jc w:val="both"/>
        <w:rPr>
          <w:rFonts w:cs="Times New Roman"/>
          <w:iCs/>
          <w:color w:val="000000" w:themeColor="text1"/>
        </w:rPr>
      </w:pPr>
    </w:p>
    <w:p w14:paraId="79A1C0B8" w14:textId="77777777" w:rsidR="00E857CF" w:rsidRPr="007D2C0C" w:rsidRDefault="00E857CF" w:rsidP="00E857CF">
      <w:pPr>
        <w:ind w:left="720"/>
        <w:jc w:val="both"/>
        <w:rPr>
          <w:rFonts w:cs="Times New Roman"/>
          <w:u w:val="single"/>
        </w:rPr>
      </w:pPr>
      <w:r w:rsidRPr="007D2C0C">
        <w:rPr>
          <w:rFonts w:cs="Times New Roman"/>
          <w:u w:val="single"/>
        </w:rPr>
        <w:t>Financial Test</w:t>
      </w:r>
    </w:p>
    <w:p w14:paraId="4D6B5152" w14:textId="77777777" w:rsidR="00E857CF" w:rsidRPr="00413FD2" w:rsidRDefault="00E857CF" w:rsidP="00E857CF">
      <w:pPr>
        <w:ind w:left="720"/>
        <w:jc w:val="both"/>
        <w:rPr>
          <w:rFonts w:eastAsia="Calibri" w:cs="Times New Roman"/>
        </w:rPr>
      </w:pPr>
      <w:r w:rsidRPr="00413FD2">
        <w:rPr>
          <w:rFonts w:cs="Times New Roman"/>
          <w:b/>
          <w:i/>
        </w:rPr>
        <w:t xml:space="preserve">TWC § 13.246(c)(6) requires the Commission to consider the financial ability of the Applicant to pay for facilities necessary to provide continuous and adequate service. </w:t>
      </w:r>
      <w:r w:rsidRPr="00413FD2">
        <w:rPr>
          <w:rFonts w:cs="Times New Roman"/>
        </w:rPr>
        <w:t xml:space="preserve"> </w:t>
      </w:r>
    </w:p>
    <w:p w14:paraId="291BA802" w14:textId="77777777" w:rsidR="00E857CF" w:rsidRPr="00413FD2" w:rsidRDefault="00E857CF" w:rsidP="00E857CF">
      <w:pPr>
        <w:ind w:left="720"/>
        <w:contextualSpacing/>
        <w:jc w:val="both"/>
        <w:rPr>
          <w:rFonts w:cs="Times New Roman"/>
        </w:rPr>
      </w:pP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cs="Times New Roman"/>
          <w:vertAlign w:val="superscript"/>
        </w:rPr>
        <w:footnoteReference w:id="2"/>
      </w:r>
      <w:r w:rsidRPr="00413FD2">
        <w:rPr>
          <w:rFonts w:cs="Times New Roman"/>
        </w:rPr>
        <w:t xml:space="preserve"> The Purchaser must demonstrate that it meets one of the five tests.</w:t>
      </w:r>
      <w:r w:rsidRPr="00413FD2">
        <w:rPr>
          <w:rFonts w:cs="Times New Roman"/>
          <w:vertAlign w:val="superscript"/>
        </w:rPr>
        <w:footnoteReference w:id="3"/>
      </w:r>
      <w:r w:rsidRPr="00413FD2">
        <w:rPr>
          <w:rFonts w:cs="Times New Roman"/>
        </w:rPr>
        <w:t xml:space="preserve">  </w:t>
      </w:r>
    </w:p>
    <w:p w14:paraId="250919D0" w14:textId="77777777" w:rsidR="00E857CF" w:rsidRPr="007D2C0C" w:rsidRDefault="00E857CF" w:rsidP="00E857CF">
      <w:pPr>
        <w:pStyle w:val="BodyText"/>
        <w:spacing w:after="0"/>
        <w:ind w:left="720"/>
        <w:jc w:val="both"/>
        <w:rPr>
          <w:rFonts w:ascii="Times New Roman" w:hAnsi="Times New Roman" w:cs="Times New Roman"/>
        </w:rPr>
      </w:pPr>
    </w:p>
    <w:p w14:paraId="6930062B" w14:textId="77777777" w:rsidR="00E857CF" w:rsidRPr="007D2C0C" w:rsidRDefault="00E857CF" w:rsidP="00E857CF">
      <w:pPr>
        <w:pStyle w:val="BodyText"/>
        <w:spacing w:after="0"/>
        <w:ind w:left="720"/>
        <w:jc w:val="both"/>
        <w:rPr>
          <w:rFonts w:ascii="Times New Roman" w:hAnsi="Times New Roman" w:cs="Times New Roman"/>
        </w:rPr>
      </w:pPr>
      <w:r w:rsidRPr="007D2C0C">
        <w:rPr>
          <w:rFonts w:ascii="Times New Roman" w:hAnsi="Times New Roman" w:cs="Times New Roman"/>
        </w:rPr>
        <w:t>The Applicant meets t</w:t>
      </w:r>
      <w:r>
        <w:rPr>
          <w:rFonts w:ascii="Times New Roman" w:hAnsi="Times New Roman" w:cs="Times New Roman"/>
        </w:rPr>
        <w:t xml:space="preserve">hree </w:t>
      </w:r>
      <w:r w:rsidRPr="007D2C0C">
        <w:rPr>
          <w:rFonts w:ascii="Times New Roman" w:hAnsi="Times New Roman" w:cs="Times New Roman"/>
        </w:rPr>
        <w:t>out of the five leverage tests. The Applicant is only required to meet one. The first test is met with a debt to equity ratio calculated as follows: long</w:t>
      </w:r>
      <w:r>
        <w:rPr>
          <w:rFonts w:ascii="Times New Roman" w:hAnsi="Times New Roman" w:cs="Times New Roman"/>
        </w:rPr>
        <w:t>-</w:t>
      </w:r>
      <w:r w:rsidRPr="007D2C0C">
        <w:rPr>
          <w:rFonts w:ascii="Times New Roman" w:hAnsi="Times New Roman" w:cs="Times New Roman"/>
        </w:rPr>
        <w:t>term debt of $</w:t>
      </w:r>
      <w:r>
        <w:rPr>
          <w:rFonts w:ascii="Times New Roman" w:hAnsi="Times New Roman" w:cs="Times New Roman"/>
        </w:rPr>
        <w:t>6</w:t>
      </w:r>
      <w:r w:rsidRPr="007D2C0C">
        <w:rPr>
          <w:rFonts w:ascii="Times New Roman" w:hAnsi="Times New Roman" w:cs="Times New Roman"/>
        </w:rPr>
        <w:t>,</w:t>
      </w:r>
      <w:r>
        <w:rPr>
          <w:rFonts w:ascii="Times New Roman" w:hAnsi="Times New Roman" w:cs="Times New Roman"/>
        </w:rPr>
        <w:t>614</w:t>
      </w:r>
      <w:r w:rsidRPr="007D2C0C">
        <w:rPr>
          <w:rFonts w:ascii="Times New Roman" w:hAnsi="Times New Roman" w:cs="Times New Roman"/>
        </w:rPr>
        <w:t>,</w:t>
      </w:r>
      <w:r>
        <w:rPr>
          <w:rFonts w:ascii="Times New Roman" w:hAnsi="Times New Roman" w:cs="Times New Roman"/>
        </w:rPr>
        <w:t>513</w:t>
      </w:r>
      <w:r>
        <w:rPr>
          <w:rStyle w:val="FootnoteReference"/>
          <w:rFonts w:ascii="Times New Roman" w:hAnsi="Times New Roman" w:cs="Times New Roman"/>
        </w:rPr>
        <w:footnoteReference w:id="4"/>
      </w:r>
      <w:r w:rsidRPr="007D2C0C">
        <w:rPr>
          <w:rFonts w:ascii="Times New Roman" w:hAnsi="Times New Roman" w:cs="Times New Roman"/>
        </w:rPr>
        <w:t xml:space="preserve"> divided by equity/net position of $</w:t>
      </w:r>
      <w:r>
        <w:rPr>
          <w:rFonts w:ascii="Times New Roman" w:hAnsi="Times New Roman" w:cs="Times New Roman"/>
        </w:rPr>
        <w:t>7,393,881</w:t>
      </w:r>
      <w:r>
        <w:rPr>
          <w:rStyle w:val="FootnoteReference"/>
          <w:rFonts w:ascii="Times New Roman" w:hAnsi="Times New Roman" w:cs="Times New Roman"/>
        </w:rPr>
        <w:footnoteReference w:id="5"/>
      </w:r>
      <w:r w:rsidRPr="007D2C0C">
        <w:rPr>
          <w:rFonts w:ascii="Times New Roman" w:hAnsi="Times New Roman" w:cs="Times New Roman"/>
        </w:rPr>
        <w:t xml:space="preserve"> equals </w:t>
      </w:r>
      <w:r>
        <w:rPr>
          <w:rFonts w:ascii="Times New Roman" w:hAnsi="Times New Roman" w:cs="Times New Roman"/>
        </w:rPr>
        <w:t>0.90</w:t>
      </w:r>
      <w:r w:rsidRPr="007D2C0C">
        <w:rPr>
          <w:rFonts w:ascii="Times New Roman" w:hAnsi="Times New Roman" w:cs="Times New Roman"/>
        </w:rPr>
        <w:t xml:space="preserve"> which is less than one. The Applicant also has sufficient unrestricted cash available as a cushion for two years of debt service.  Debt service payments for year 2019 </w:t>
      </w:r>
      <w:r>
        <w:rPr>
          <w:rFonts w:ascii="Times New Roman" w:hAnsi="Times New Roman" w:cs="Times New Roman"/>
        </w:rPr>
        <w:t>of $621,276</w:t>
      </w:r>
      <w:r>
        <w:rPr>
          <w:rStyle w:val="FootnoteReference"/>
          <w:rFonts w:ascii="Times New Roman" w:hAnsi="Times New Roman" w:cs="Times New Roman"/>
        </w:rPr>
        <w:footnoteReference w:id="6"/>
      </w:r>
      <w:r>
        <w:rPr>
          <w:rFonts w:ascii="Times New Roman" w:hAnsi="Times New Roman" w:cs="Times New Roman"/>
        </w:rPr>
        <w:t xml:space="preserve"> plus year 2020 of $490,382</w:t>
      </w:r>
      <w:r>
        <w:rPr>
          <w:rStyle w:val="FootnoteReference"/>
          <w:rFonts w:ascii="Times New Roman" w:hAnsi="Times New Roman" w:cs="Times New Roman"/>
        </w:rPr>
        <w:footnoteReference w:id="7"/>
      </w:r>
      <w:r>
        <w:rPr>
          <w:rFonts w:ascii="Times New Roman" w:hAnsi="Times New Roman" w:cs="Times New Roman"/>
        </w:rPr>
        <w:t xml:space="preserve"> result in a </w:t>
      </w:r>
      <w:r w:rsidRPr="007D2C0C">
        <w:rPr>
          <w:rFonts w:ascii="Times New Roman" w:hAnsi="Times New Roman" w:cs="Times New Roman"/>
        </w:rPr>
        <w:t xml:space="preserve">total </w:t>
      </w:r>
      <w:r>
        <w:rPr>
          <w:rFonts w:ascii="Times New Roman" w:hAnsi="Times New Roman" w:cs="Times New Roman"/>
        </w:rPr>
        <w:t xml:space="preserve">of two years of debt service of </w:t>
      </w:r>
      <w:r w:rsidRPr="007D2C0C">
        <w:rPr>
          <w:rFonts w:ascii="Times New Roman" w:hAnsi="Times New Roman" w:cs="Times New Roman"/>
        </w:rPr>
        <w:t>$1,</w:t>
      </w:r>
      <w:r>
        <w:rPr>
          <w:rFonts w:ascii="Times New Roman" w:hAnsi="Times New Roman" w:cs="Times New Roman"/>
        </w:rPr>
        <w:t>111</w:t>
      </w:r>
      <w:r w:rsidRPr="007D2C0C">
        <w:rPr>
          <w:rFonts w:ascii="Times New Roman" w:hAnsi="Times New Roman" w:cs="Times New Roman"/>
        </w:rPr>
        <w:t>,</w:t>
      </w:r>
      <w:r>
        <w:rPr>
          <w:rFonts w:ascii="Times New Roman" w:hAnsi="Times New Roman" w:cs="Times New Roman"/>
        </w:rPr>
        <w:t>658</w:t>
      </w:r>
      <w:r w:rsidRPr="007D2C0C">
        <w:rPr>
          <w:rFonts w:ascii="Times New Roman" w:hAnsi="Times New Roman" w:cs="Times New Roman"/>
        </w:rPr>
        <w:t xml:space="preserve"> while unrestricted cash totals $1,</w:t>
      </w:r>
      <w:r>
        <w:rPr>
          <w:rFonts w:ascii="Times New Roman" w:hAnsi="Times New Roman" w:cs="Times New Roman"/>
        </w:rPr>
        <w:t>970</w:t>
      </w:r>
      <w:r w:rsidRPr="007D2C0C">
        <w:rPr>
          <w:rFonts w:ascii="Times New Roman" w:hAnsi="Times New Roman" w:cs="Times New Roman"/>
        </w:rPr>
        <w:t>,</w:t>
      </w:r>
      <w:r>
        <w:rPr>
          <w:rFonts w:ascii="Times New Roman" w:hAnsi="Times New Roman" w:cs="Times New Roman"/>
        </w:rPr>
        <w:t>136</w:t>
      </w:r>
      <w:r w:rsidRPr="007D2C0C">
        <w:rPr>
          <w:rFonts w:ascii="Times New Roman" w:hAnsi="Times New Roman" w:cs="Times New Roman"/>
        </w:rPr>
        <w:t>.</w:t>
      </w:r>
      <w:r>
        <w:rPr>
          <w:rStyle w:val="FootnoteReference"/>
          <w:rFonts w:ascii="Times New Roman" w:hAnsi="Times New Roman" w:cs="Times New Roman"/>
        </w:rPr>
        <w:footnoteReference w:id="8"/>
      </w:r>
      <w:r w:rsidRPr="007D2C0C">
        <w:rPr>
          <w:rFonts w:ascii="Times New Roman" w:hAnsi="Times New Roman" w:cs="Times New Roman"/>
        </w:rPr>
        <w:t xml:space="preserve">  </w:t>
      </w:r>
      <w:r>
        <w:rPr>
          <w:rFonts w:ascii="Times New Roman" w:hAnsi="Times New Roman" w:cs="Times New Roman"/>
        </w:rPr>
        <w:t>In addition, the Applicant has a debt service coverage ratio of 1.58 times derived by dividing net operating income before depreciation of $981,947</w:t>
      </w:r>
      <w:r>
        <w:rPr>
          <w:rStyle w:val="FootnoteReference"/>
          <w:rFonts w:ascii="Times New Roman" w:hAnsi="Times New Roman" w:cs="Times New Roman"/>
        </w:rPr>
        <w:footnoteReference w:id="9"/>
      </w:r>
      <w:r>
        <w:rPr>
          <w:rFonts w:ascii="Times New Roman" w:hAnsi="Times New Roman" w:cs="Times New Roman"/>
        </w:rPr>
        <w:t xml:space="preserve"> by long-term debt payments of $621,276.  </w:t>
      </w:r>
    </w:p>
    <w:bookmarkEnd w:id="1"/>
    <w:p w14:paraId="79014B10" w14:textId="77777777" w:rsidR="00E857CF" w:rsidRDefault="00E857CF" w:rsidP="00E857CF">
      <w:pPr>
        <w:tabs>
          <w:tab w:val="left" w:pos="0"/>
        </w:tabs>
        <w:ind w:left="720"/>
        <w:jc w:val="both"/>
        <w:rPr>
          <w:rFonts w:cs="Times New Roman"/>
        </w:rPr>
      </w:pPr>
    </w:p>
    <w:p w14:paraId="57ACA444" w14:textId="26E8EAA6" w:rsidR="00E857CF" w:rsidRDefault="00E857CF" w:rsidP="00E857CF">
      <w:pPr>
        <w:tabs>
          <w:tab w:val="left" w:pos="0"/>
        </w:tabs>
        <w:ind w:left="720"/>
        <w:jc w:val="both"/>
        <w:rPr>
          <w:rFonts w:cs="Times New Roman"/>
        </w:rPr>
      </w:pPr>
      <w:r w:rsidRPr="00E857CF">
        <w:rPr>
          <w:rFonts w:cs="Times New Roman"/>
        </w:rPr>
        <w:t xml:space="preserve">The Applicant meets the operations test. The owner or operator must demonstrate sufficient cash is available to cover any projected operations and maintenance shortages in the first five years of operations.  Projections were not available in the application; however, the Applicant had $981,947 in net operating income before depreciation.  Therefore, there are no shortages to cover. </w:t>
      </w:r>
      <w:bookmarkEnd w:id="2"/>
      <w:bookmarkEnd w:id="3"/>
      <w:r w:rsidRPr="00E857CF">
        <w:rPr>
          <w:rFonts w:cs="Times New Roman"/>
        </w:rPr>
        <w:t>The facilities to serve this area have already been built and no new facilities are necessary.</w:t>
      </w:r>
    </w:p>
    <w:p w14:paraId="40EF397E" w14:textId="77777777" w:rsidR="005C05F4" w:rsidRPr="00E857CF" w:rsidRDefault="005C05F4" w:rsidP="00E857CF">
      <w:pPr>
        <w:tabs>
          <w:tab w:val="left" w:pos="0"/>
        </w:tabs>
        <w:ind w:left="720"/>
        <w:jc w:val="both"/>
        <w:rPr>
          <w:rFonts w:cs="Times New Roman"/>
        </w:rPr>
      </w:pPr>
    </w:p>
    <w:p w14:paraId="1526A0F1" w14:textId="77777777" w:rsidR="00E857CF" w:rsidRPr="007D2C0C" w:rsidRDefault="00E857CF" w:rsidP="00E857CF">
      <w:pPr>
        <w:pStyle w:val="BodyText"/>
        <w:ind w:left="720"/>
        <w:jc w:val="both"/>
        <w:rPr>
          <w:rFonts w:ascii="Times New Roman" w:hAnsi="Times New Roman" w:cs="Times New Roman"/>
        </w:rPr>
      </w:pPr>
      <w:r>
        <w:rPr>
          <w:rFonts w:ascii="Times New Roman" w:hAnsi="Times New Roman" w:cs="Times New Roman"/>
        </w:rPr>
        <w:lastRenderedPageBreak/>
        <w:t>Staff’s</w:t>
      </w:r>
      <w:r w:rsidRPr="007D2C0C">
        <w:rPr>
          <w:rFonts w:ascii="Times New Roman" w:hAnsi="Times New Roman" w:cs="Times New Roman"/>
        </w:rPr>
        <w:t xml:space="preserve"> analysis is based on the Applicant’s audited financial statements which contained an unqualified auditor’s opinion from </w:t>
      </w:r>
      <w:proofErr w:type="spellStart"/>
      <w:r>
        <w:rPr>
          <w:rFonts w:ascii="Times New Roman" w:hAnsi="Times New Roman" w:cs="Times New Roman"/>
        </w:rPr>
        <w:t>Knuckols</w:t>
      </w:r>
      <w:proofErr w:type="spellEnd"/>
      <w:r>
        <w:rPr>
          <w:rFonts w:ascii="Times New Roman" w:hAnsi="Times New Roman" w:cs="Times New Roman"/>
        </w:rPr>
        <w:t xml:space="preserve">, Duvall, </w:t>
      </w:r>
      <w:proofErr w:type="spellStart"/>
      <w:r>
        <w:rPr>
          <w:rFonts w:ascii="Times New Roman" w:hAnsi="Times New Roman" w:cs="Times New Roman"/>
        </w:rPr>
        <w:t>Hallum</w:t>
      </w:r>
      <w:proofErr w:type="spellEnd"/>
      <w:r>
        <w:rPr>
          <w:rFonts w:ascii="Times New Roman" w:hAnsi="Times New Roman" w:cs="Times New Roman"/>
        </w:rPr>
        <w:t xml:space="preserve"> &amp; Company </w:t>
      </w:r>
      <w:r w:rsidRPr="007D2C0C">
        <w:rPr>
          <w:rFonts w:ascii="Times New Roman" w:hAnsi="Times New Roman" w:cs="Times New Roman"/>
        </w:rPr>
        <w:t xml:space="preserve">which stated that the financial statements present fairly, in all material respects, the financial position of the Applicant as of September 30, 2018. The audit and the related opinion indicate the transparency of the Applicant and indicate sound management capabilities. </w:t>
      </w:r>
    </w:p>
    <w:p w14:paraId="05F90809" w14:textId="77777777" w:rsidR="00E857CF" w:rsidRPr="007D2C0C" w:rsidRDefault="00E857CF" w:rsidP="00E857CF">
      <w:pPr>
        <w:tabs>
          <w:tab w:val="left" w:pos="0"/>
        </w:tabs>
        <w:ind w:left="360"/>
        <w:jc w:val="both"/>
        <w:rPr>
          <w:rFonts w:cs="Times New Roman"/>
        </w:rPr>
      </w:pPr>
    </w:p>
    <w:p w14:paraId="3DFAC7C9" w14:textId="77777777" w:rsidR="00E401EE" w:rsidRPr="009C673C" w:rsidRDefault="00E401EE" w:rsidP="002243CD">
      <w:pPr>
        <w:ind w:left="720"/>
        <w:jc w:val="both"/>
        <w:rPr>
          <w:rFonts w:cs="Times New Roman"/>
          <w:color w:val="000000" w:themeColor="text1"/>
        </w:rPr>
      </w:pPr>
      <w:r w:rsidRPr="009C673C">
        <w:rPr>
          <w:rFonts w:cs="Times New Roman"/>
          <w:b/>
          <w:i/>
          <w:color w:val="000000" w:themeColor="text1"/>
        </w:rPr>
        <w:t>TWC §§ 13.246(7) and (9) require the commission to consider the environmental integrity and the effect on the land to be included in the certificate.</w:t>
      </w:r>
      <w:r w:rsidRPr="009C673C">
        <w:rPr>
          <w:rFonts w:cs="Times New Roman"/>
          <w:color w:val="000000" w:themeColor="text1"/>
        </w:rPr>
        <w:t xml:space="preserve">  </w:t>
      </w:r>
    </w:p>
    <w:p w14:paraId="58CF39AB" w14:textId="39F91BBD" w:rsidR="00E401EE" w:rsidRPr="009C673C" w:rsidRDefault="00E401EE" w:rsidP="002243CD">
      <w:pPr>
        <w:ind w:left="720"/>
        <w:jc w:val="both"/>
        <w:rPr>
          <w:rFonts w:cs="Times New Roman"/>
          <w:color w:val="000000" w:themeColor="text1"/>
        </w:rPr>
      </w:pPr>
      <w:r w:rsidRPr="009C673C">
        <w:rPr>
          <w:rFonts w:cs="Times New Roman"/>
          <w:color w:val="000000" w:themeColor="text1"/>
        </w:rPr>
        <w:t xml:space="preserve">The land will be </w:t>
      </w:r>
      <w:r w:rsidR="00BB508A">
        <w:rPr>
          <w:rFonts w:cs="Times New Roman"/>
          <w:color w:val="000000" w:themeColor="text1"/>
        </w:rPr>
        <w:t>not be</w:t>
      </w:r>
      <w:r w:rsidR="00BB508A" w:rsidRPr="009C673C">
        <w:rPr>
          <w:rFonts w:cs="Times New Roman"/>
          <w:color w:val="000000" w:themeColor="text1"/>
        </w:rPr>
        <w:t xml:space="preserve"> </w:t>
      </w:r>
      <w:r w:rsidRPr="009C673C">
        <w:rPr>
          <w:rFonts w:cs="Times New Roman"/>
          <w:color w:val="000000" w:themeColor="text1"/>
        </w:rPr>
        <w:t>affected as the</w:t>
      </w:r>
      <w:r w:rsidR="00BB508A">
        <w:rPr>
          <w:rFonts w:cs="Times New Roman"/>
          <w:color w:val="000000" w:themeColor="text1"/>
        </w:rPr>
        <w:t>re are existing facilities to serve the</w:t>
      </w:r>
      <w:r w:rsidRPr="009C673C">
        <w:rPr>
          <w:rFonts w:cs="Times New Roman"/>
          <w:color w:val="000000" w:themeColor="text1"/>
        </w:rPr>
        <w:t xml:space="preserve"> requested area.</w:t>
      </w:r>
    </w:p>
    <w:p w14:paraId="20E4322F" w14:textId="77777777" w:rsidR="00E401EE" w:rsidRPr="009C673C" w:rsidRDefault="00E401EE" w:rsidP="002243CD">
      <w:pPr>
        <w:pStyle w:val="NoSpacing"/>
        <w:ind w:left="720"/>
        <w:contextualSpacing/>
        <w:jc w:val="both"/>
        <w:rPr>
          <w:rFonts w:cs="Times New Roman"/>
          <w:b/>
          <w:i/>
          <w:color w:val="000000" w:themeColor="text1"/>
        </w:rPr>
      </w:pPr>
    </w:p>
    <w:p w14:paraId="7D06D351" w14:textId="77777777" w:rsidR="00E401EE" w:rsidRPr="009C673C" w:rsidRDefault="00E401EE" w:rsidP="002243CD">
      <w:pPr>
        <w:pStyle w:val="NoSpacing"/>
        <w:ind w:left="720"/>
        <w:contextualSpacing/>
        <w:jc w:val="both"/>
        <w:rPr>
          <w:rFonts w:cs="Times New Roman"/>
          <w:b/>
          <w:i/>
          <w:color w:val="000000" w:themeColor="text1"/>
        </w:rPr>
      </w:pPr>
      <w:r w:rsidRPr="009C673C">
        <w:rPr>
          <w:rFonts w:cs="Times New Roman"/>
          <w:b/>
          <w:i/>
          <w:color w:val="000000" w:themeColor="text1"/>
        </w:rPr>
        <w:t>TWC § 13.246(8) requires the commission to consider the probable improvement in service or lowering of cost to consumers.</w:t>
      </w:r>
    </w:p>
    <w:p w14:paraId="6B6F141D" w14:textId="2530862F" w:rsidR="00ED15A0" w:rsidRPr="009C673C" w:rsidRDefault="00E401EE" w:rsidP="002243CD">
      <w:pPr>
        <w:ind w:left="720"/>
        <w:jc w:val="both"/>
        <w:rPr>
          <w:rFonts w:cs="Times New Roman"/>
          <w:color w:val="000000" w:themeColor="text1"/>
          <w:shd w:val="clear" w:color="auto" w:fill="FFFFFF"/>
        </w:rPr>
      </w:pPr>
      <w:r w:rsidRPr="009C673C">
        <w:rPr>
          <w:rFonts w:cs="Times New Roman"/>
          <w:color w:val="000000" w:themeColor="text1"/>
        </w:rPr>
        <w:t xml:space="preserve">Granting the CCN amendment will allow the area to </w:t>
      </w:r>
      <w:r w:rsidR="00BB508A">
        <w:rPr>
          <w:rFonts w:cs="Times New Roman"/>
          <w:color w:val="000000" w:themeColor="text1"/>
        </w:rPr>
        <w:t xml:space="preserve">continue to </w:t>
      </w:r>
      <w:r w:rsidRPr="009C673C">
        <w:rPr>
          <w:rFonts w:cs="Times New Roman"/>
          <w:color w:val="000000" w:themeColor="text1"/>
        </w:rPr>
        <w:t xml:space="preserve">receive water service from </w:t>
      </w:r>
      <w:r w:rsidR="00ED15A0" w:rsidRPr="009C673C">
        <w:rPr>
          <w:rFonts w:cs="Times New Roman"/>
          <w:color w:val="000000" w:themeColor="text1"/>
        </w:rPr>
        <w:t>City of Hallsville</w:t>
      </w:r>
      <w:r w:rsidRPr="009C673C">
        <w:rPr>
          <w:rFonts w:cs="Times New Roman"/>
          <w:color w:val="000000" w:themeColor="text1"/>
        </w:rPr>
        <w:t xml:space="preserve">. </w:t>
      </w:r>
    </w:p>
    <w:p w14:paraId="1F638B5B" w14:textId="77777777" w:rsidR="00ED15A0" w:rsidRPr="009C673C" w:rsidRDefault="00ED15A0" w:rsidP="002243CD">
      <w:pPr>
        <w:ind w:left="720"/>
        <w:jc w:val="both"/>
        <w:rPr>
          <w:rFonts w:cs="Times New Roman"/>
          <w:color w:val="000000" w:themeColor="text1"/>
        </w:rPr>
      </w:pPr>
    </w:p>
    <w:p w14:paraId="60683A18" w14:textId="77777777" w:rsidR="00E857CF" w:rsidRPr="009C673C" w:rsidRDefault="00E401EE" w:rsidP="00E857CF">
      <w:pPr>
        <w:pStyle w:val="NoSpacing"/>
        <w:ind w:left="720"/>
        <w:jc w:val="both"/>
        <w:rPr>
          <w:rFonts w:cs="Times New Roman"/>
          <w:color w:val="000000" w:themeColor="text1"/>
        </w:rPr>
      </w:pPr>
      <w:r w:rsidRPr="009C673C">
        <w:rPr>
          <w:rFonts w:cs="Times New Roman"/>
          <w:color w:val="000000" w:themeColor="text1"/>
        </w:rPr>
        <w:t xml:space="preserve">Staff recommends that the Applicant meets all of the statutory requirements of TWC Chapter 13 and the Commission's Chapter 24 rules and regulations, is capable of providing continuous and adequate service and approving this application </w:t>
      </w:r>
      <w:r w:rsidR="00ED15A0" w:rsidRPr="009C673C">
        <w:rPr>
          <w:rFonts w:cs="Times New Roman"/>
          <w:color w:val="000000" w:themeColor="text1"/>
        </w:rPr>
        <w:t xml:space="preserve">to amend its water CCN No. 13200 and to decertify a portion of West Harrison WSC’s water CCN No. 12728 in </w:t>
      </w:r>
      <w:r w:rsidR="00ED15A0" w:rsidRPr="009C673C">
        <w:rPr>
          <w:rFonts w:eastAsiaTheme="minorHAnsi" w:cs="Times New Roman"/>
          <w:color w:val="000000" w:themeColor="text1"/>
        </w:rPr>
        <w:t>Harrison County</w:t>
      </w:r>
      <w:r w:rsidR="00ED15A0" w:rsidRPr="009C673C" w:rsidDel="00ED15A0">
        <w:rPr>
          <w:rFonts w:cs="Times New Roman"/>
          <w:color w:val="000000" w:themeColor="text1"/>
        </w:rPr>
        <w:t xml:space="preserve"> </w:t>
      </w:r>
      <w:r w:rsidRPr="009C673C">
        <w:rPr>
          <w:rFonts w:cs="Times New Roman"/>
          <w:color w:val="000000" w:themeColor="text1"/>
        </w:rPr>
        <w:t>is necessary for the service, accommodation, convenience and safety of the public.</w:t>
      </w:r>
      <w:r w:rsidR="00E857CF">
        <w:rPr>
          <w:rFonts w:cs="Times New Roman"/>
          <w:color w:val="000000" w:themeColor="text1"/>
        </w:rPr>
        <w:t xml:space="preserve"> </w:t>
      </w:r>
      <w:r w:rsidR="00E857CF" w:rsidRPr="009C673C">
        <w:rPr>
          <w:rFonts w:cs="Times New Roman"/>
          <w:noProof/>
          <w:color w:val="000000" w:themeColor="text1"/>
        </w:rPr>
        <w:t>T</w:t>
      </w:r>
      <w:r w:rsidR="00E857CF" w:rsidRPr="009C673C">
        <w:rPr>
          <w:rFonts w:cs="Times New Roman"/>
          <w:color w:val="000000" w:themeColor="text1"/>
        </w:rPr>
        <w:t>he Applicant consented to the attached maps and certificates on January 3, 2020.</w:t>
      </w:r>
    </w:p>
    <w:p w14:paraId="60F02DAE" w14:textId="77777777" w:rsidR="00E401EE" w:rsidRPr="009C673C" w:rsidRDefault="00E401EE" w:rsidP="002243CD">
      <w:pPr>
        <w:pStyle w:val="NoSpacing"/>
        <w:ind w:left="720"/>
        <w:jc w:val="both"/>
        <w:rPr>
          <w:rFonts w:cs="Times New Roman"/>
          <w:color w:val="000000" w:themeColor="text1"/>
        </w:rPr>
      </w:pPr>
    </w:p>
    <w:p w14:paraId="79155808" w14:textId="4AA2D5EB" w:rsidR="00E401EE" w:rsidRPr="009C673C" w:rsidRDefault="00E401EE" w:rsidP="002243CD">
      <w:pPr>
        <w:ind w:left="720"/>
        <w:jc w:val="both"/>
        <w:rPr>
          <w:rFonts w:cs="Times New Roman"/>
          <w:color w:val="000000" w:themeColor="text1"/>
        </w:rPr>
      </w:pPr>
      <w:r w:rsidRPr="009C673C">
        <w:rPr>
          <w:rFonts w:eastAsia="Calibri" w:cs="Times New Roman"/>
          <w:color w:val="000000" w:themeColor="text1"/>
        </w:rPr>
        <w:t xml:space="preserve">Based on the above information, Staff recommends the Commission </w:t>
      </w:r>
      <w:r w:rsidRPr="009C673C">
        <w:rPr>
          <w:rFonts w:cs="Times New Roman"/>
          <w:color w:val="000000" w:themeColor="text1"/>
        </w:rPr>
        <w:t xml:space="preserve">approve the application, </w:t>
      </w:r>
      <w:r w:rsidRPr="009C673C">
        <w:rPr>
          <w:rFonts w:eastAsia="Calibri" w:cs="Times New Roman"/>
          <w:color w:val="000000" w:themeColor="text1"/>
        </w:rPr>
        <w:t xml:space="preserve">issue an order and provide the attached map(s) and certificate(s) to </w:t>
      </w:r>
      <w:r w:rsidR="00ED15A0" w:rsidRPr="009C673C">
        <w:rPr>
          <w:rFonts w:cs="Times New Roman"/>
          <w:color w:val="000000" w:themeColor="text1"/>
        </w:rPr>
        <w:t>the City of Hallsville</w:t>
      </w:r>
      <w:r w:rsidRPr="009C673C">
        <w:rPr>
          <w:rFonts w:eastAsia="Calibri" w:cs="Times New Roman"/>
          <w:color w:val="000000" w:themeColor="text1"/>
        </w:rPr>
        <w:t xml:space="preserve">. Staff further recommends that the Applicant </w:t>
      </w:r>
      <w:r w:rsidRPr="009C673C">
        <w:rPr>
          <w:rFonts w:cs="Times New Roman"/>
          <w:color w:val="000000" w:themeColor="text1"/>
        </w:rPr>
        <w:t>file certified copies of the CCN maps along with a written description of the CCN service area in the county clerk’s office pursuant to TWC §§ 13.257 (r)-(s).</w:t>
      </w:r>
    </w:p>
    <w:p w14:paraId="42DF135B" w14:textId="77777777" w:rsidR="00E401EE" w:rsidRPr="009C673C" w:rsidRDefault="00E401EE" w:rsidP="002243CD">
      <w:pPr>
        <w:jc w:val="both"/>
        <w:rPr>
          <w:rFonts w:cs="Times New Roman"/>
          <w:color w:val="000000" w:themeColor="text1"/>
        </w:rPr>
      </w:pPr>
    </w:p>
    <w:p w14:paraId="02074C3C" w14:textId="77777777" w:rsidR="00E10334" w:rsidRPr="009C673C" w:rsidRDefault="00E10334" w:rsidP="004D30EA">
      <w:pPr>
        <w:rPr>
          <w:rFonts w:cs="Times New Roman"/>
          <w:color w:val="000000" w:themeColor="text1"/>
        </w:rPr>
      </w:pPr>
    </w:p>
    <w:sectPr w:rsidR="00E10334" w:rsidRPr="009C673C" w:rsidSect="00D70B96">
      <w:pgSz w:w="12240" w:h="15840" w:code="1"/>
      <w:pgMar w:top="720" w:right="1008" w:bottom="720" w:left="1008"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E6FFF" w14:textId="77777777" w:rsidR="00B12DA6" w:rsidRDefault="00B12DA6" w:rsidP="00581065">
      <w:r>
        <w:separator/>
      </w:r>
    </w:p>
  </w:endnote>
  <w:endnote w:type="continuationSeparator" w:id="0">
    <w:p w14:paraId="33BFE33F" w14:textId="77777777" w:rsidR="00B12DA6" w:rsidRDefault="00B12DA6" w:rsidP="00581065">
      <w:r>
        <w:continuationSeparator/>
      </w:r>
    </w:p>
  </w:endnote>
  <w:endnote w:type="continuationNotice" w:id="1">
    <w:p w14:paraId="683D782B" w14:textId="77777777" w:rsidR="00B12DA6" w:rsidRDefault="00B12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50E28" w14:textId="77777777" w:rsidR="00B12DA6" w:rsidRDefault="00B12DA6" w:rsidP="00581065">
      <w:r>
        <w:separator/>
      </w:r>
    </w:p>
  </w:footnote>
  <w:footnote w:type="continuationSeparator" w:id="0">
    <w:p w14:paraId="04B8FF88" w14:textId="77777777" w:rsidR="00B12DA6" w:rsidRDefault="00B12DA6" w:rsidP="00581065">
      <w:r>
        <w:continuationSeparator/>
      </w:r>
    </w:p>
  </w:footnote>
  <w:footnote w:type="continuationNotice" w:id="1">
    <w:p w14:paraId="6A66227F" w14:textId="77777777" w:rsidR="00B12DA6" w:rsidRDefault="00B12DA6"/>
  </w:footnote>
  <w:footnote w:id="2">
    <w:p w14:paraId="6B7DB158" w14:textId="77777777" w:rsidR="00E857CF" w:rsidRPr="001E4D2F" w:rsidRDefault="00E857CF" w:rsidP="00E857CF">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 xml:space="preserve">See </w:t>
      </w:r>
      <w:r w:rsidRPr="001E4D2F">
        <w:rPr>
          <w:rFonts w:ascii="Times New Roman" w:hAnsi="Times New Roman" w:cs="Times New Roman"/>
        </w:rPr>
        <w:t>16 TAC § 24.11</w:t>
      </w:r>
      <w:r>
        <w:rPr>
          <w:rFonts w:ascii="Times New Roman" w:hAnsi="Times New Roman" w:cs="Times New Roman"/>
        </w:rPr>
        <w:t>(e)(2).</w:t>
      </w:r>
    </w:p>
  </w:footnote>
  <w:footnote w:id="3">
    <w:p w14:paraId="50097B5F" w14:textId="77777777" w:rsidR="00E857CF" w:rsidRPr="001E4D2F" w:rsidRDefault="00E857CF" w:rsidP="00E857CF">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4">
    <w:p w14:paraId="16CED5D6" w14:textId="77777777" w:rsidR="00E857CF" w:rsidRPr="00604414" w:rsidRDefault="00E857CF" w:rsidP="00E857CF">
      <w:pPr>
        <w:pStyle w:val="FootnoteText"/>
        <w:rPr>
          <w:rFonts w:ascii="Times New Roman" w:hAnsi="Times New Roman" w:cs="Times New Roman"/>
        </w:rPr>
      </w:pPr>
      <w:r>
        <w:rPr>
          <w:rFonts w:ascii="Times New Roman" w:hAnsi="Times New Roman" w:cs="Times New Roman"/>
        </w:rPr>
        <w:tab/>
      </w:r>
      <w:r w:rsidRPr="00604414">
        <w:rPr>
          <w:rStyle w:val="FootnoteReference"/>
          <w:rFonts w:ascii="Times New Roman" w:hAnsi="Times New Roman" w:cs="Times New Roman"/>
        </w:rPr>
        <w:footnoteRef/>
      </w:r>
      <w:r w:rsidRPr="00604414">
        <w:rPr>
          <w:rFonts w:ascii="Times New Roman" w:hAnsi="Times New Roman" w:cs="Times New Roman"/>
        </w:rPr>
        <w:t xml:space="preserve"> </w:t>
      </w:r>
      <w:hyperlink r:id="rId1" w:history="1">
        <w:r w:rsidRPr="00F33620">
          <w:rPr>
            <w:rStyle w:val="Hyperlink"/>
            <w:rFonts w:ascii="Times New Roman" w:hAnsi="Times New Roman" w:cs="Times New Roman"/>
          </w:rPr>
          <w:t>www.mactexas.com</w:t>
        </w:r>
      </w:hyperlink>
      <w:r>
        <w:rPr>
          <w:rFonts w:ascii="Times New Roman" w:hAnsi="Times New Roman" w:cs="Times New Roman"/>
        </w:rPr>
        <w:t>, or page 10 of the audited financial statements.</w:t>
      </w:r>
    </w:p>
  </w:footnote>
  <w:footnote w:id="5">
    <w:p w14:paraId="17EE42EB" w14:textId="77777777" w:rsidR="00E857CF" w:rsidRPr="00604414" w:rsidRDefault="00E857CF" w:rsidP="00E857CF">
      <w:pPr>
        <w:pStyle w:val="FootnoteText"/>
        <w:rPr>
          <w:rFonts w:ascii="Times New Roman" w:hAnsi="Times New Roman" w:cs="Times New Roman"/>
          <w:i/>
        </w:rPr>
      </w:pPr>
      <w:r w:rsidRPr="00604414">
        <w:rPr>
          <w:rFonts w:ascii="Times New Roman" w:hAnsi="Times New Roman" w:cs="Times New Roman"/>
        </w:rPr>
        <w:tab/>
      </w:r>
      <w:r w:rsidRPr="00604414">
        <w:rPr>
          <w:rStyle w:val="FootnoteReference"/>
          <w:rFonts w:ascii="Times New Roman" w:hAnsi="Times New Roman" w:cs="Times New Roman"/>
        </w:rPr>
        <w:footnoteRef/>
      </w:r>
      <w:r w:rsidRPr="00604414">
        <w:rPr>
          <w:rFonts w:ascii="Times New Roman" w:hAnsi="Times New Roman" w:cs="Times New Roman"/>
        </w:rPr>
        <w:t xml:space="preserve"> </w:t>
      </w:r>
      <w:r>
        <w:rPr>
          <w:rFonts w:ascii="Times New Roman" w:hAnsi="Times New Roman" w:cs="Times New Roman"/>
          <w:i/>
        </w:rPr>
        <w:t>Id.</w:t>
      </w:r>
    </w:p>
  </w:footnote>
  <w:footnote w:id="6">
    <w:p w14:paraId="2A89F27C" w14:textId="77777777" w:rsidR="00E857CF" w:rsidRPr="00604414" w:rsidRDefault="00E857CF" w:rsidP="00E857CF">
      <w:pPr>
        <w:pStyle w:val="FootnoteText"/>
        <w:rPr>
          <w:rFonts w:ascii="Times New Roman" w:hAnsi="Times New Roman" w:cs="Times New Roman"/>
        </w:rPr>
      </w:pPr>
      <w:r>
        <w:tab/>
      </w:r>
      <w:r w:rsidRPr="00604414">
        <w:rPr>
          <w:rStyle w:val="FootnoteReference"/>
          <w:rFonts w:ascii="Times New Roman" w:hAnsi="Times New Roman" w:cs="Times New Roman"/>
        </w:rPr>
        <w:footnoteRef/>
      </w:r>
      <w:r w:rsidRPr="00604414">
        <w:rPr>
          <w:rFonts w:ascii="Times New Roman" w:hAnsi="Times New Roman" w:cs="Times New Roman"/>
        </w:rPr>
        <w:t xml:space="preserve"> </w:t>
      </w:r>
      <w:r w:rsidRPr="00F33620">
        <w:rPr>
          <w:rFonts w:ascii="Times New Roman" w:hAnsi="Times New Roman" w:cs="Times New Roman"/>
          <w:u w:val="single"/>
        </w:rPr>
        <w:t>www.mactexas.com</w:t>
      </w:r>
      <w:r>
        <w:rPr>
          <w:rFonts w:ascii="Times New Roman" w:hAnsi="Times New Roman" w:cs="Times New Roman"/>
        </w:rPr>
        <w:t>, or page 33-35 of the audited financial statements.</w:t>
      </w:r>
    </w:p>
  </w:footnote>
  <w:footnote w:id="7">
    <w:p w14:paraId="092852F8" w14:textId="77777777" w:rsidR="00E857CF" w:rsidRPr="00604414" w:rsidRDefault="00E857CF" w:rsidP="00E857CF">
      <w:pPr>
        <w:pStyle w:val="FootnoteText"/>
        <w:rPr>
          <w:rFonts w:ascii="Times New Roman" w:hAnsi="Times New Roman" w:cs="Times New Roman"/>
          <w:i/>
        </w:rPr>
      </w:pPr>
      <w:r w:rsidRPr="00604414">
        <w:rPr>
          <w:rFonts w:ascii="Times New Roman" w:hAnsi="Times New Roman" w:cs="Times New Roman"/>
        </w:rPr>
        <w:tab/>
      </w:r>
      <w:r w:rsidRPr="00604414">
        <w:rPr>
          <w:rStyle w:val="FootnoteReference"/>
          <w:rFonts w:ascii="Times New Roman" w:hAnsi="Times New Roman" w:cs="Times New Roman"/>
        </w:rPr>
        <w:footnoteRef/>
      </w:r>
      <w:r w:rsidRPr="00604414">
        <w:rPr>
          <w:rFonts w:ascii="Times New Roman" w:hAnsi="Times New Roman" w:cs="Times New Roman"/>
        </w:rPr>
        <w:t xml:space="preserve"> </w:t>
      </w:r>
      <w:r>
        <w:rPr>
          <w:rFonts w:ascii="Times New Roman" w:hAnsi="Times New Roman" w:cs="Times New Roman"/>
          <w:i/>
        </w:rPr>
        <w:t>Id.</w:t>
      </w:r>
    </w:p>
  </w:footnote>
  <w:footnote w:id="8">
    <w:p w14:paraId="6B03B85A" w14:textId="77777777" w:rsidR="00E857CF" w:rsidRPr="00604414" w:rsidRDefault="00E857CF" w:rsidP="00E857CF">
      <w:pPr>
        <w:pStyle w:val="FootnoteText"/>
        <w:rPr>
          <w:rFonts w:ascii="Times New Roman" w:hAnsi="Times New Roman" w:cs="Times New Roman"/>
        </w:rPr>
      </w:pPr>
      <w:r>
        <w:tab/>
      </w:r>
      <w:r w:rsidRPr="00604414">
        <w:rPr>
          <w:rStyle w:val="FootnoteReference"/>
          <w:rFonts w:ascii="Times New Roman" w:hAnsi="Times New Roman" w:cs="Times New Roman"/>
        </w:rPr>
        <w:footnoteRef/>
      </w:r>
      <w:r w:rsidRPr="00604414">
        <w:rPr>
          <w:rFonts w:ascii="Times New Roman" w:hAnsi="Times New Roman" w:cs="Times New Roman"/>
        </w:rPr>
        <w:t xml:space="preserve"> </w:t>
      </w:r>
      <w:r w:rsidRPr="00F33620">
        <w:rPr>
          <w:rFonts w:ascii="Times New Roman" w:hAnsi="Times New Roman" w:cs="Times New Roman"/>
          <w:u w:val="single"/>
        </w:rPr>
        <w:t>www.mactexas.com</w:t>
      </w:r>
      <w:r>
        <w:rPr>
          <w:rFonts w:ascii="Times New Roman" w:hAnsi="Times New Roman" w:cs="Times New Roman"/>
        </w:rPr>
        <w:t>, or page 10 of the audited financial statements.</w:t>
      </w:r>
    </w:p>
  </w:footnote>
  <w:footnote w:id="9">
    <w:p w14:paraId="08C440BF" w14:textId="77777777" w:rsidR="00E857CF" w:rsidRPr="00217222" w:rsidRDefault="00E857CF" w:rsidP="00E857CF">
      <w:pPr>
        <w:pStyle w:val="FootnoteText"/>
        <w:rPr>
          <w:rFonts w:ascii="Times New Roman" w:hAnsi="Times New Roman" w:cs="Times New Roman"/>
        </w:rPr>
      </w:pPr>
      <w:r>
        <w:rPr>
          <w:rFonts w:ascii="Times New Roman" w:hAnsi="Times New Roman" w:cs="Times New Roman"/>
        </w:rPr>
        <w:t xml:space="preserve">              </w:t>
      </w:r>
      <w:r w:rsidRPr="00217222">
        <w:rPr>
          <w:rStyle w:val="FootnoteReference"/>
          <w:rFonts w:ascii="Times New Roman" w:hAnsi="Times New Roman" w:cs="Times New Roman"/>
        </w:rPr>
        <w:footnoteRef/>
      </w:r>
      <w:r w:rsidRPr="00217222">
        <w:rPr>
          <w:rFonts w:ascii="Times New Roman" w:hAnsi="Times New Roman" w:cs="Times New Roman"/>
        </w:rPr>
        <w:t xml:space="preserve"> </w:t>
      </w:r>
      <w:hyperlink r:id="rId2" w:history="1">
        <w:r w:rsidRPr="00F33620">
          <w:rPr>
            <w:rStyle w:val="Hyperlink"/>
            <w:rFonts w:ascii="Times New Roman" w:hAnsi="Times New Roman" w:cs="Times New Roman"/>
          </w:rPr>
          <w:t>www.mactexas.com</w:t>
        </w:r>
      </w:hyperlink>
      <w:r>
        <w:rPr>
          <w:rFonts w:ascii="Times New Roman" w:hAnsi="Times New Roman" w:cs="Times New Roman"/>
        </w:rPr>
        <w:t>, or pages</w:t>
      </w:r>
      <w:r w:rsidRPr="00217222">
        <w:rPr>
          <w:rFonts w:ascii="Times New Roman" w:hAnsi="Times New Roman" w:cs="Times New Roman"/>
        </w:rPr>
        <w:t xml:space="preserve"> </w:t>
      </w:r>
      <w:r>
        <w:rPr>
          <w:rFonts w:ascii="Times New Roman" w:hAnsi="Times New Roman" w:cs="Times New Roman"/>
        </w:rPr>
        <w:t xml:space="preserve">8 and 32 </w:t>
      </w:r>
      <w:r w:rsidRPr="00217222">
        <w:rPr>
          <w:rFonts w:ascii="Times New Roman" w:hAnsi="Times New Roman" w:cs="Times New Roman"/>
        </w:rPr>
        <w:t>of the audited financial statements.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912"/>
    <w:multiLevelType w:val="hybridMultilevel"/>
    <w:tmpl w:val="A1F25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F72D5"/>
    <w:multiLevelType w:val="hybridMultilevel"/>
    <w:tmpl w:val="69265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E36EA"/>
    <w:multiLevelType w:val="hybridMultilevel"/>
    <w:tmpl w:val="BFEC57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3862E6"/>
    <w:multiLevelType w:val="hybridMultilevel"/>
    <w:tmpl w:val="C28C2B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9D06BEB"/>
    <w:multiLevelType w:val="hybridMultilevel"/>
    <w:tmpl w:val="9BDE2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D1068"/>
    <w:multiLevelType w:val="hybridMultilevel"/>
    <w:tmpl w:val="2C482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56934"/>
    <w:multiLevelType w:val="hybridMultilevel"/>
    <w:tmpl w:val="A08CB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55CFF"/>
    <w:multiLevelType w:val="hybridMultilevel"/>
    <w:tmpl w:val="42B68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DD024F8"/>
    <w:multiLevelType w:val="hybridMultilevel"/>
    <w:tmpl w:val="D1148F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0F11CAD"/>
    <w:multiLevelType w:val="hybridMultilevel"/>
    <w:tmpl w:val="EAF2C89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476CC0"/>
    <w:multiLevelType w:val="hybridMultilevel"/>
    <w:tmpl w:val="9BC8C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8D55EE"/>
    <w:multiLevelType w:val="hybridMultilevel"/>
    <w:tmpl w:val="0218C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85947"/>
    <w:multiLevelType w:val="hybridMultilevel"/>
    <w:tmpl w:val="9274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1"/>
  </w:num>
  <w:num w:numId="4">
    <w:abstractNumId w:val="7"/>
  </w:num>
  <w:num w:numId="5">
    <w:abstractNumId w:val="17"/>
  </w:num>
  <w:num w:numId="6">
    <w:abstractNumId w:val="1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13"/>
  </w:num>
  <w:num w:numId="11">
    <w:abstractNumId w:val="18"/>
  </w:num>
  <w:num w:numId="12">
    <w:abstractNumId w:val="0"/>
  </w:num>
  <w:num w:numId="13">
    <w:abstractNumId w:val="4"/>
  </w:num>
  <w:num w:numId="14">
    <w:abstractNumId w:val="2"/>
  </w:num>
  <w:num w:numId="15">
    <w:abstractNumId w:val="9"/>
  </w:num>
  <w:num w:numId="16">
    <w:abstractNumId w:val="14"/>
  </w:num>
  <w:num w:numId="17">
    <w:abstractNumId w:val="3"/>
  </w:num>
  <w:num w:numId="18">
    <w:abstractNumId w:val="15"/>
  </w:num>
  <w:num w:numId="19">
    <w:abstractNumId w:val="6"/>
  </w:num>
  <w:num w:numId="2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73E"/>
    <w:rsid w:val="00000FE0"/>
    <w:rsid w:val="000105D5"/>
    <w:rsid w:val="00023A59"/>
    <w:rsid w:val="0002509F"/>
    <w:rsid w:val="00033215"/>
    <w:rsid w:val="0003568D"/>
    <w:rsid w:val="00040887"/>
    <w:rsid w:val="00046A90"/>
    <w:rsid w:val="00051FE3"/>
    <w:rsid w:val="000529B7"/>
    <w:rsid w:val="00056BDB"/>
    <w:rsid w:val="00060369"/>
    <w:rsid w:val="00060ED8"/>
    <w:rsid w:val="00062669"/>
    <w:rsid w:val="00066C72"/>
    <w:rsid w:val="00074004"/>
    <w:rsid w:val="00080A1F"/>
    <w:rsid w:val="000833E7"/>
    <w:rsid w:val="00090876"/>
    <w:rsid w:val="000911AA"/>
    <w:rsid w:val="000A5839"/>
    <w:rsid w:val="000B37D5"/>
    <w:rsid w:val="000B67AF"/>
    <w:rsid w:val="000C0860"/>
    <w:rsid w:val="000C1F71"/>
    <w:rsid w:val="000C3C9B"/>
    <w:rsid w:val="000D1A10"/>
    <w:rsid w:val="000D32BB"/>
    <w:rsid w:val="000D5937"/>
    <w:rsid w:val="000D7DF0"/>
    <w:rsid w:val="000E07DA"/>
    <w:rsid w:val="000F6696"/>
    <w:rsid w:val="000F69E7"/>
    <w:rsid w:val="00102D10"/>
    <w:rsid w:val="00103DB0"/>
    <w:rsid w:val="001042DB"/>
    <w:rsid w:val="00105CE8"/>
    <w:rsid w:val="00117D8D"/>
    <w:rsid w:val="00130110"/>
    <w:rsid w:val="0013379E"/>
    <w:rsid w:val="00146C32"/>
    <w:rsid w:val="00147362"/>
    <w:rsid w:val="001527D0"/>
    <w:rsid w:val="00155A06"/>
    <w:rsid w:val="00166B04"/>
    <w:rsid w:val="00166C36"/>
    <w:rsid w:val="001769F7"/>
    <w:rsid w:val="00177A4C"/>
    <w:rsid w:val="00184539"/>
    <w:rsid w:val="001853AC"/>
    <w:rsid w:val="0019173E"/>
    <w:rsid w:val="00195D89"/>
    <w:rsid w:val="001A2E05"/>
    <w:rsid w:val="001B1EAA"/>
    <w:rsid w:val="001B71B6"/>
    <w:rsid w:val="001D3CB4"/>
    <w:rsid w:val="001F1B4E"/>
    <w:rsid w:val="001F2BD3"/>
    <w:rsid w:val="0020085F"/>
    <w:rsid w:val="0020544C"/>
    <w:rsid w:val="0020608D"/>
    <w:rsid w:val="00211BC1"/>
    <w:rsid w:val="00211FA7"/>
    <w:rsid w:val="002132CE"/>
    <w:rsid w:val="002243CD"/>
    <w:rsid w:val="002303E0"/>
    <w:rsid w:val="00250069"/>
    <w:rsid w:val="002608D8"/>
    <w:rsid w:val="00260B52"/>
    <w:rsid w:val="00263ECF"/>
    <w:rsid w:val="0026435B"/>
    <w:rsid w:val="00272EA7"/>
    <w:rsid w:val="0028145D"/>
    <w:rsid w:val="002A4734"/>
    <w:rsid w:val="002B072C"/>
    <w:rsid w:val="002B169B"/>
    <w:rsid w:val="002B2854"/>
    <w:rsid w:val="002B293A"/>
    <w:rsid w:val="002C12EB"/>
    <w:rsid w:val="002E203F"/>
    <w:rsid w:val="002F256C"/>
    <w:rsid w:val="002F3F6E"/>
    <w:rsid w:val="002F7745"/>
    <w:rsid w:val="00301C72"/>
    <w:rsid w:val="00310BAE"/>
    <w:rsid w:val="00310D7B"/>
    <w:rsid w:val="00311EA8"/>
    <w:rsid w:val="00325487"/>
    <w:rsid w:val="0033718B"/>
    <w:rsid w:val="00342B19"/>
    <w:rsid w:val="00343B81"/>
    <w:rsid w:val="0034442C"/>
    <w:rsid w:val="00354AB2"/>
    <w:rsid w:val="00355CE0"/>
    <w:rsid w:val="003573D9"/>
    <w:rsid w:val="0036351B"/>
    <w:rsid w:val="00364A4D"/>
    <w:rsid w:val="00365963"/>
    <w:rsid w:val="00372BAD"/>
    <w:rsid w:val="003806CB"/>
    <w:rsid w:val="00383E9A"/>
    <w:rsid w:val="0038442F"/>
    <w:rsid w:val="00386532"/>
    <w:rsid w:val="0039460F"/>
    <w:rsid w:val="00397A18"/>
    <w:rsid w:val="003A01D4"/>
    <w:rsid w:val="003B0101"/>
    <w:rsid w:val="003B0806"/>
    <w:rsid w:val="003B6B83"/>
    <w:rsid w:val="003D40B5"/>
    <w:rsid w:val="003E48AE"/>
    <w:rsid w:val="003E600C"/>
    <w:rsid w:val="003F1377"/>
    <w:rsid w:val="003F3800"/>
    <w:rsid w:val="00414427"/>
    <w:rsid w:val="00417F4E"/>
    <w:rsid w:val="00431244"/>
    <w:rsid w:val="00432444"/>
    <w:rsid w:val="0043419C"/>
    <w:rsid w:val="00443002"/>
    <w:rsid w:val="00443BAB"/>
    <w:rsid w:val="00457514"/>
    <w:rsid w:val="00460214"/>
    <w:rsid w:val="004677CE"/>
    <w:rsid w:val="0047297E"/>
    <w:rsid w:val="00477579"/>
    <w:rsid w:val="00482CF3"/>
    <w:rsid w:val="004879A0"/>
    <w:rsid w:val="004933CF"/>
    <w:rsid w:val="004A2F09"/>
    <w:rsid w:val="004A4D0C"/>
    <w:rsid w:val="004A562F"/>
    <w:rsid w:val="004A5BB1"/>
    <w:rsid w:val="004D30EA"/>
    <w:rsid w:val="004E4E6E"/>
    <w:rsid w:val="004E5093"/>
    <w:rsid w:val="004F1E9F"/>
    <w:rsid w:val="0050598C"/>
    <w:rsid w:val="00514EE1"/>
    <w:rsid w:val="005173C6"/>
    <w:rsid w:val="00517FEE"/>
    <w:rsid w:val="00520AA2"/>
    <w:rsid w:val="00532E7D"/>
    <w:rsid w:val="00540844"/>
    <w:rsid w:val="00547702"/>
    <w:rsid w:val="00556A41"/>
    <w:rsid w:val="00561434"/>
    <w:rsid w:val="005642A1"/>
    <w:rsid w:val="0057084E"/>
    <w:rsid w:val="00581065"/>
    <w:rsid w:val="00583341"/>
    <w:rsid w:val="00587773"/>
    <w:rsid w:val="00590917"/>
    <w:rsid w:val="0059111B"/>
    <w:rsid w:val="00593322"/>
    <w:rsid w:val="005964E6"/>
    <w:rsid w:val="005A2B0F"/>
    <w:rsid w:val="005A51D7"/>
    <w:rsid w:val="005A5DD1"/>
    <w:rsid w:val="005A68FF"/>
    <w:rsid w:val="005A7A19"/>
    <w:rsid w:val="005B4469"/>
    <w:rsid w:val="005C05F4"/>
    <w:rsid w:val="005C371C"/>
    <w:rsid w:val="005D0E00"/>
    <w:rsid w:val="005E17A3"/>
    <w:rsid w:val="005E6FB0"/>
    <w:rsid w:val="005E76EB"/>
    <w:rsid w:val="005F283F"/>
    <w:rsid w:val="005F36D4"/>
    <w:rsid w:val="005F4C98"/>
    <w:rsid w:val="005F7BB3"/>
    <w:rsid w:val="00601C70"/>
    <w:rsid w:val="0060317A"/>
    <w:rsid w:val="00603CE7"/>
    <w:rsid w:val="0061190E"/>
    <w:rsid w:val="006179F4"/>
    <w:rsid w:val="006260B1"/>
    <w:rsid w:val="006353D2"/>
    <w:rsid w:val="00641598"/>
    <w:rsid w:val="00647855"/>
    <w:rsid w:val="00652E80"/>
    <w:rsid w:val="00667C61"/>
    <w:rsid w:val="00671D9D"/>
    <w:rsid w:val="006759BE"/>
    <w:rsid w:val="006909C8"/>
    <w:rsid w:val="0069234A"/>
    <w:rsid w:val="006936F2"/>
    <w:rsid w:val="00693E65"/>
    <w:rsid w:val="006946B1"/>
    <w:rsid w:val="00696AB0"/>
    <w:rsid w:val="00697999"/>
    <w:rsid w:val="006A1008"/>
    <w:rsid w:val="006A1652"/>
    <w:rsid w:val="006B0EE6"/>
    <w:rsid w:val="006B352D"/>
    <w:rsid w:val="006C0C18"/>
    <w:rsid w:val="006C3010"/>
    <w:rsid w:val="006D4356"/>
    <w:rsid w:val="006D5397"/>
    <w:rsid w:val="006F0FE2"/>
    <w:rsid w:val="006F776A"/>
    <w:rsid w:val="00713323"/>
    <w:rsid w:val="0072457B"/>
    <w:rsid w:val="0072718D"/>
    <w:rsid w:val="00734A61"/>
    <w:rsid w:val="00753ED8"/>
    <w:rsid w:val="00774BBE"/>
    <w:rsid w:val="007777F6"/>
    <w:rsid w:val="00780832"/>
    <w:rsid w:val="00782BFB"/>
    <w:rsid w:val="007848FC"/>
    <w:rsid w:val="00786B73"/>
    <w:rsid w:val="007A035E"/>
    <w:rsid w:val="007A05AB"/>
    <w:rsid w:val="007A66C2"/>
    <w:rsid w:val="007B57ED"/>
    <w:rsid w:val="007D496E"/>
    <w:rsid w:val="007D50A3"/>
    <w:rsid w:val="007D7F7F"/>
    <w:rsid w:val="007E75FF"/>
    <w:rsid w:val="007E7D45"/>
    <w:rsid w:val="007E7D8B"/>
    <w:rsid w:val="007F02E7"/>
    <w:rsid w:val="007F7857"/>
    <w:rsid w:val="0081015D"/>
    <w:rsid w:val="00814480"/>
    <w:rsid w:val="008249CC"/>
    <w:rsid w:val="008264F9"/>
    <w:rsid w:val="008344EA"/>
    <w:rsid w:val="00842897"/>
    <w:rsid w:val="00850BAB"/>
    <w:rsid w:val="00856C79"/>
    <w:rsid w:val="00860EED"/>
    <w:rsid w:val="00862C95"/>
    <w:rsid w:val="008641EF"/>
    <w:rsid w:val="00872C16"/>
    <w:rsid w:val="00875B45"/>
    <w:rsid w:val="00880654"/>
    <w:rsid w:val="00880832"/>
    <w:rsid w:val="00883265"/>
    <w:rsid w:val="008A2678"/>
    <w:rsid w:val="008A52D8"/>
    <w:rsid w:val="008C2E34"/>
    <w:rsid w:val="008C3D91"/>
    <w:rsid w:val="008D232F"/>
    <w:rsid w:val="008F06CA"/>
    <w:rsid w:val="00915801"/>
    <w:rsid w:val="00916264"/>
    <w:rsid w:val="0093275C"/>
    <w:rsid w:val="00933D3F"/>
    <w:rsid w:val="00945D90"/>
    <w:rsid w:val="009508AB"/>
    <w:rsid w:val="00957C95"/>
    <w:rsid w:val="0097246A"/>
    <w:rsid w:val="00974095"/>
    <w:rsid w:val="009853C4"/>
    <w:rsid w:val="009A3908"/>
    <w:rsid w:val="009A5845"/>
    <w:rsid w:val="009B3B85"/>
    <w:rsid w:val="009C0992"/>
    <w:rsid w:val="009C22A6"/>
    <w:rsid w:val="009C673C"/>
    <w:rsid w:val="009D3481"/>
    <w:rsid w:val="009E2E31"/>
    <w:rsid w:val="009E776A"/>
    <w:rsid w:val="009F0E36"/>
    <w:rsid w:val="009F2C53"/>
    <w:rsid w:val="00A00C8B"/>
    <w:rsid w:val="00A06C4E"/>
    <w:rsid w:val="00A21C8E"/>
    <w:rsid w:val="00A32109"/>
    <w:rsid w:val="00A3530F"/>
    <w:rsid w:val="00A43CE8"/>
    <w:rsid w:val="00A44C24"/>
    <w:rsid w:val="00A51D5E"/>
    <w:rsid w:val="00A628E8"/>
    <w:rsid w:val="00A633ED"/>
    <w:rsid w:val="00A7662D"/>
    <w:rsid w:val="00AA3D01"/>
    <w:rsid w:val="00AC236E"/>
    <w:rsid w:val="00AC3CF1"/>
    <w:rsid w:val="00AC6A3C"/>
    <w:rsid w:val="00AD5201"/>
    <w:rsid w:val="00AD679E"/>
    <w:rsid w:val="00AE7BBA"/>
    <w:rsid w:val="00AF0645"/>
    <w:rsid w:val="00B020A0"/>
    <w:rsid w:val="00B12DA6"/>
    <w:rsid w:val="00B14902"/>
    <w:rsid w:val="00B17CFC"/>
    <w:rsid w:val="00B2294E"/>
    <w:rsid w:val="00B27621"/>
    <w:rsid w:val="00B31CB8"/>
    <w:rsid w:val="00B46DAD"/>
    <w:rsid w:val="00B625E8"/>
    <w:rsid w:val="00B64890"/>
    <w:rsid w:val="00B66661"/>
    <w:rsid w:val="00B675F5"/>
    <w:rsid w:val="00B84137"/>
    <w:rsid w:val="00B86EC7"/>
    <w:rsid w:val="00B87504"/>
    <w:rsid w:val="00B906E4"/>
    <w:rsid w:val="00BB0922"/>
    <w:rsid w:val="00BB1FCA"/>
    <w:rsid w:val="00BB242D"/>
    <w:rsid w:val="00BB249D"/>
    <w:rsid w:val="00BB508A"/>
    <w:rsid w:val="00BB6B83"/>
    <w:rsid w:val="00BC1A9E"/>
    <w:rsid w:val="00BD0DE4"/>
    <w:rsid w:val="00BD3ECC"/>
    <w:rsid w:val="00BE09FD"/>
    <w:rsid w:val="00BE76A0"/>
    <w:rsid w:val="00C0268A"/>
    <w:rsid w:val="00C04C71"/>
    <w:rsid w:val="00C0781C"/>
    <w:rsid w:val="00C10540"/>
    <w:rsid w:val="00C12183"/>
    <w:rsid w:val="00C12698"/>
    <w:rsid w:val="00C149BD"/>
    <w:rsid w:val="00C15275"/>
    <w:rsid w:val="00C303DF"/>
    <w:rsid w:val="00C32E7B"/>
    <w:rsid w:val="00C66896"/>
    <w:rsid w:val="00C73238"/>
    <w:rsid w:val="00C80D7C"/>
    <w:rsid w:val="00C86E06"/>
    <w:rsid w:val="00C87F0E"/>
    <w:rsid w:val="00C96652"/>
    <w:rsid w:val="00CA19D1"/>
    <w:rsid w:val="00CA271D"/>
    <w:rsid w:val="00CA6AE4"/>
    <w:rsid w:val="00CB6993"/>
    <w:rsid w:val="00CD02D0"/>
    <w:rsid w:val="00CD0CAC"/>
    <w:rsid w:val="00CD1A6E"/>
    <w:rsid w:val="00CD2731"/>
    <w:rsid w:val="00CD4E71"/>
    <w:rsid w:val="00CD550C"/>
    <w:rsid w:val="00CE4F2D"/>
    <w:rsid w:val="00CF04A8"/>
    <w:rsid w:val="00CF24F5"/>
    <w:rsid w:val="00CF27F3"/>
    <w:rsid w:val="00CF325C"/>
    <w:rsid w:val="00D0239A"/>
    <w:rsid w:val="00D030CA"/>
    <w:rsid w:val="00D0713E"/>
    <w:rsid w:val="00D153F0"/>
    <w:rsid w:val="00D159A7"/>
    <w:rsid w:val="00D34126"/>
    <w:rsid w:val="00D355D0"/>
    <w:rsid w:val="00D46D84"/>
    <w:rsid w:val="00D6038C"/>
    <w:rsid w:val="00D709A3"/>
    <w:rsid w:val="00D70B96"/>
    <w:rsid w:val="00D72E0B"/>
    <w:rsid w:val="00D878A0"/>
    <w:rsid w:val="00D9077F"/>
    <w:rsid w:val="00DA13C9"/>
    <w:rsid w:val="00DA1819"/>
    <w:rsid w:val="00DA19C7"/>
    <w:rsid w:val="00DA480D"/>
    <w:rsid w:val="00DB1B12"/>
    <w:rsid w:val="00DB766F"/>
    <w:rsid w:val="00DC1179"/>
    <w:rsid w:val="00DD4728"/>
    <w:rsid w:val="00DD5EE8"/>
    <w:rsid w:val="00DE53CE"/>
    <w:rsid w:val="00DE7B40"/>
    <w:rsid w:val="00DF22C0"/>
    <w:rsid w:val="00E007D1"/>
    <w:rsid w:val="00E01F8A"/>
    <w:rsid w:val="00E07667"/>
    <w:rsid w:val="00E10334"/>
    <w:rsid w:val="00E16C48"/>
    <w:rsid w:val="00E16FB5"/>
    <w:rsid w:val="00E305EA"/>
    <w:rsid w:val="00E3135C"/>
    <w:rsid w:val="00E319A8"/>
    <w:rsid w:val="00E32FDF"/>
    <w:rsid w:val="00E35D71"/>
    <w:rsid w:val="00E401EE"/>
    <w:rsid w:val="00E50643"/>
    <w:rsid w:val="00E533AC"/>
    <w:rsid w:val="00E56D8A"/>
    <w:rsid w:val="00E60C63"/>
    <w:rsid w:val="00E6133A"/>
    <w:rsid w:val="00E75116"/>
    <w:rsid w:val="00E76482"/>
    <w:rsid w:val="00E7753E"/>
    <w:rsid w:val="00E8196E"/>
    <w:rsid w:val="00E82732"/>
    <w:rsid w:val="00E8346C"/>
    <w:rsid w:val="00E84244"/>
    <w:rsid w:val="00E857CF"/>
    <w:rsid w:val="00EA026D"/>
    <w:rsid w:val="00EA6FA2"/>
    <w:rsid w:val="00EB2C0E"/>
    <w:rsid w:val="00EB5B39"/>
    <w:rsid w:val="00EC151A"/>
    <w:rsid w:val="00ED15A0"/>
    <w:rsid w:val="00ED67FE"/>
    <w:rsid w:val="00ED7986"/>
    <w:rsid w:val="00EE7683"/>
    <w:rsid w:val="00EF6070"/>
    <w:rsid w:val="00F040A1"/>
    <w:rsid w:val="00F31645"/>
    <w:rsid w:val="00F327DB"/>
    <w:rsid w:val="00F44BF7"/>
    <w:rsid w:val="00F50126"/>
    <w:rsid w:val="00F52710"/>
    <w:rsid w:val="00F52898"/>
    <w:rsid w:val="00F55904"/>
    <w:rsid w:val="00F623BF"/>
    <w:rsid w:val="00F638E7"/>
    <w:rsid w:val="00F6630E"/>
    <w:rsid w:val="00F71C12"/>
    <w:rsid w:val="00F75157"/>
    <w:rsid w:val="00F8660E"/>
    <w:rsid w:val="00F9038D"/>
    <w:rsid w:val="00F94462"/>
    <w:rsid w:val="00F97EE4"/>
    <w:rsid w:val="00FA5325"/>
    <w:rsid w:val="00FC02E7"/>
    <w:rsid w:val="00FC7699"/>
    <w:rsid w:val="00FD244C"/>
    <w:rsid w:val="00FD48EE"/>
    <w:rsid w:val="00FD6474"/>
    <w:rsid w:val="00FE57C7"/>
    <w:rsid w:val="00FE5E29"/>
    <w:rsid w:val="00FF5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8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5487"/>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19173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872C16"/>
    <w:rPr>
      <w:rFonts w:ascii="Tahoma" w:hAnsi="Tahoma" w:cs="Tahoma"/>
      <w:sz w:val="16"/>
      <w:szCs w:val="16"/>
    </w:rPr>
  </w:style>
  <w:style w:type="character" w:customStyle="1" w:styleId="BalloonTextChar">
    <w:name w:val="Balloon Text Char"/>
    <w:basedOn w:val="DefaultParagraphFont"/>
    <w:link w:val="BalloonText"/>
    <w:uiPriority w:val="99"/>
    <w:semiHidden/>
    <w:rsid w:val="00872C16"/>
    <w:rPr>
      <w:rFonts w:ascii="Tahoma" w:eastAsia="Times New Roman" w:hAnsi="Tahoma" w:cs="Tahoma"/>
      <w:sz w:val="16"/>
      <w:szCs w:val="16"/>
    </w:rPr>
  </w:style>
  <w:style w:type="paragraph" w:styleId="Header">
    <w:name w:val="header"/>
    <w:basedOn w:val="Normal"/>
    <w:link w:val="HeaderChar"/>
    <w:uiPriority w:val="99"/>
    <w:unhideWhenUsed/>
    <w:rsid w:val="00581065"/>
    <w:pPr>
      <w:tabs>
        <w:tab w:val="center" w:pos="4680"/>
        <w:tab w:val="right" w:pos="9360"/>
      </w:tabs>
    </w:pPr>
  </w:style>
  <w:style w:type="character" w:customStyle="1" w:styleId="HeaderChar">
    <w:name w:val="Header Char"/>
    <w:basedOn w:val="DefaultParagraphFont"/>
    <w:link w:val="Header"/>
    <w:uiPriority w:val="99"/>
    <w:rsid w:val="00581065"/>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581065"/>
    <w:pPr>
      <w:tabs>
        <w:tab w:val="center" w:pos="4680"/>
        <w:tab w:val="right" w:pos="9360"/>
      </w:tabs>
    </w:pPr>
  </w:style>
  <w:style w:type="character" w:customStyle="1" w:styleId="FooterChar">
    <w:name w:val="Footer Char"/>
    <w:basedOn w:val="DefaultParagraphFont"/>
    <w:link w:val="Footer"/>
    <w:uiPriority w:val="99"/>
    <w:rsid w:val="00581065"/>
    <w:rPr>
      <w:rFonts w:ascii="Times New Roman" w:eastAsia="Times New Roman" w:hAnsi="Times New Roman" w:cs="Baskerville Old Face"/>
      <w:sz w:val="24"/>
      <w:szCs w:val="24"/>
    </w:rPr>
  </w:style>
  <w:style w:type="paragraph" w:styleId="ListParagraph">
    <w:name w:val="List Paragraph"/>
    <w:basedOn w:val="Normal"/>
    <w:uiPriority w:val="34"/>
    <w:qFormat/>
    <w:rsid w:val="00A43CE8"/>
    <w:pPr>
      <w:spacing w:after="200" w:line="276"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325487"/>
    <w:rPr>
      <w:sz w:val="16"/>
      <w:szCs w:val="16"/>
    </w:rPr>
  </w:style>
  <w:style w:type="paragraph" w:styleId="CommentText">
    <w:name w:val="annotation text"/>
    <w:basedOn w:val="Normal"/>
    <w:link w:val="CommentTextChar"/>
    <w:uiPriority w:val="99"/>
    <w:unhideWhenUsed/>
    <w:rsid w:val="00325487"/>
    <w:rPr>
      <w:sz w:val="20"/>
      <w:szCs w:val="20"/>
    </w:rPr>
  </w:style>
  <w:style w:type="character" w:customStyle="1" w:styleId="CommentTextChar">
    <w:name w:val="Comment Text Char"/>
    <w:basedOn w:val="DefaultParagraphFont"/>
    <w:link w:val="CommentText"/>
    <w:uiPriority w:val="99"/>
    <w:rsid w:val="00325487"/>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325487"/>
    <w:rPr>
      <w:b/>
      <w:bCs/>
    </w:rPr>
  </w:style>
  <w:style w:type="character" w:customStyle="1" w:styleId="CommentSubjectChar">
    <w:name w:val="Comment Subject Char"/>
    <w:basedOn w:val="CommentTextChar"/>
    <w:link w:val="CommentSubject"/>
    <w:uiPriority w:val="99"/>
    <w:semiHidden/>
    <w:rsid w:val="00325487"/>
    <w:rPr>
      <w:rFonts w:ascii="Times New Roman" w:eastAsia="Times New Roman" w:hAnsi="Times New Roman" w:cs="Baskerville Old Face"/>
      <w:b/>
      <w:bCs/>
      <w:sz w:val="20"/>
      <w:szCs w:val="20"/>
    </w:rPr>
  </w:style>
  <w:style w:type="character" w:styleId="Hyperlink">
    <w:name w:val="Hyperlink"/>
    <w:basedOn w:val="DefaultParagraphFont"/>
    <w:semiHidden/>
    <w:rsid w:val="00E7753E"/>
    <w:rPr>
      <w:color w:val="0000FF"/>
      <w:u w:val="single"/>
    </w:rPr>
  </w:style>
  <w:style w:type="character" w:customStyle="1" w:styleId="bold1">
    <w:name w:val="bold1"/>
    <w:basedOn w:val="DefaultParagraphFont"/>
    <w:rsid w:val="00D9077F"/>
    <w:rPr>
      <w:b/>
      <w:bCs/>
    </w:rPr>
  </w:style>
  <w:style w:type="paragraph" w:styleId="NoSpacing">
    <w:name w:val="No Spacing"/>
    <w:uiPriority w:val="1"/>
    <w:qFormat/>
    <w:rsid w:val="00C32E7B"/>
    <w:pPr>
      <w:spacing w:after="0" w:line="240" w:lineRule="auto"/>
    </w:pPr>
    <w:rPr>
      <w:rFonts w:ascii="Times New Roman" w:eastAsia="Times New Roman" w:hAnsi="Times New Roman" w:cs="Baskerville Old Face"/>
      <w:sz w:val="24"/>
      <w:szCs w:val="24"/>
    </w:rPr>
  </w:style>
  <w:style w:type="paragraph" w:styleId="Revision">
    <w:name w:val="Revision"/>
    <w:hidden/>
    <w:uiPriority w:val="99"/>
    <w:semiHidden/>
    <w:rsid w:val="003B0806"/>
    <w:pPr>
      <w:spacing w:after="0" w:line="240" w:lineRule="auto"/>
    </w:pPr>
    <w:rPr>
      <w:rFonts w:ascii="Times New Roman" w:eastAsia="Times New Roman" w:hAnsi="Times New Roman" w:cs="Baskerville Old Face"/>
      <w:sz w:val="24"/>
      <w:szCs w:val="24"/>
    </w:rPr>
  </w:style>
  <w:style w:type="character" w:styleId="Strong">
    <w:name w:val="Strong"/>
    <w:qFormat/>
    <w:rsid w:val="00E01F8A"/>
    <w:rPr>
      <w:b/>
      <w:bCs/>
    </w:rPr>
  </w:style>
  <w:style w:type="paragraph" w:customStyle="1" w:styleId="Default">
    <w:name w:val="Default"/>
    <w:rsid w:val="00AA3D01"/>
    <w:pPr>
      <w:autoSpaceDE w:val="0"/>
      <w:autoSpaceDN w:val="0"/>
      <w:adjustRightInd w:val="0"/>
      <w:spacing w:after="0" w:line="240" w:lineRule="auto"/>
    </w:pPr>
    <w:rPr>
      <w:rFonts w:ascii="Calibri" w:hAnsi="Calibri" w:cs="Calibri"/>
      <w:color w:val="000000"/>
      <w:sz w:val="24"/>
      <w:szCs w:val="24"/>
    </w:rPr>
  </w:style>
  <w:style w:type="character" w:customStyle="1" w:styleId="address1">
    <w:name w:val="address1"/>
    <w:basedOn w:val="DefaultParagraphFont"/>
    <w:rsid w:val="00DC1179"/>
  </w:style>
  <w:style w:type="character" w:customStyle="1" w:styleId="city">
    <w:name w:val="city"/>
    <w:basedOn w:val="DefaultParagraphFont"/>
    <w:rsid w:val="00DC1179"/>
  </w:style>
  <w:style w:type="character" w:customStyle="1" w:styleId="state">
    <w:name w:val="state"/>
    <w:basedOn w:val="DefaultParagraphFont"/>
    <w:rsid w:val="00DC1179"/>
  </w:style>
  <w:style w:type="character" w:customStyle="1" w:styleId="zip">
    <w:name w:val="zip"/>
    <w:basedOn w:val="DefaultParagraphFont"/>
    <w:rsid w:val="00DC1179"/>
  </w:style>
  <w:style w:type="character" w:customStyle="1" w:styleId="hyphen">
    <w:name w:val="hyphen"/>
    <w:basedOn w:val="DefaultParagraphFont"/>
    <w:rsid w:val="00DC1179"/>
  </w:style>
  <w:style w:type="character" w:customStyle="1" w:styleId="zip4">
    <w:name w:val="zip4"/>
    <w:basedOn w:val="DefaultParagraphFont"/>
    <w:rsid w:val="00DC1179"/>
  </w:style>
  <w:style w:type="character" w:styleId="FollowedHyperlink">
    <w:name w:val="FollowedHyperlink"/>
    <w:basedOn w:val="DefaultParagraphFont"/>
    <w:uiPriority w:val="99"/>
    <w:semiHidden/>
    <w:unhideWhenUsed/>
    <w:rsid w:val="005A7A19"/>
    <w:rPr>
      <w:color w:val="800080" w:themeColor="followedHyperlink"/>
      <w:u w:val="single"/>
    </w:rPr>
  </w:style>
  <w:style w:type="paragraph" w:styleId="BodyText">
    <w:name w:val="Body Text"/>
    <w:link w:val="BodyTextChar"/>
    <w:qFormat/>
    <w:rsid w:val="00E401EE"/>
    <w:pPr>
      <w:spacing w:after="120" w:line="240" w:lineRule="auto"/>
    </w:pPr>
    <w:rPr>
      <w:rFonts w:ascii="Georgia" w:hAnsi="Georgia"/>
      <w:sz w:val="24"/>
      <w:szCs w:val="24"/>
    </w:rPr>
  </w:style>
  <w:style w:type="character" w:customStyle="1" w:styleId="BodyTextChar">
    <w:name w:val="Body Text Char"/>
    <w:basedOn w:val="DefaultParagraphFont"/>
    <w:link w:val="BodyText"/>
    <w:rsid w:val="00E401EE"/>
    <w:rPr>
      <w:rFonts w:ascii="Georgia" w:hAnsi="Georgia"/>
      <w:sz w:val="24"/>
      <w:szCs w:val="24"/>
    </w:rPr>
  </w:style>
  <w:style w:type="paragraph" w:styleId="FootnoteText">
    <w:name w:val="footnote text"/>
    <w:basedOn w:val="Normal"/>
    <w:link w:val="FootnoteTextChar"/>
    <w:uiPriority w:val="99"/>
    <w:semiHidden/>
    <w:rsid w:val="00E857CF"/>
    <w:pPr>
      <w:tabs>
        <w:tab w:val="left" w:pos="720"/>
      </w:tabs>
      <w:spacing w:before="-1" w:after="-1"/>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E857CF"/>
    <w:rPr>
      <w:rFonts w:ascii="Georgia" w:hAnsi="Georgia"/>
      <w:sz w:val="20"/>
      <w:szCs w:val="20"/>
    </w:rPr>
  </w:style>
  <w:style w:type="character" w:styleId="FootnoteReference">
    <w:name w:val="footnote reference"/>
    <w:basedOn w:val="DefaultParagraphFont"/>
    <w:semiHidden/>
    <w:rsid w:val="00E857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68241">
      <w:bodyDiv w:val="1"/>
      <w:marLeft w:val="0"/>
      <w:marRight w:val="0"/>
      <w:marTop w:val="0"/>
      <w:marBottom w:val="0"/>
      <w:divBdr>
        <w:top w:val="none" w:sz="0" w:space="0" w:color="auto"/>
        <w:left w:val="none" w:sz="0" w:space="0" w:color="auto"/>
        <w:bottom w:val="none" w:sz="0" w:space="0" w:color="auto"/>
        <w:right w:val="none" w:sz="0" w:space="0" w:color="auto"/>
      </w:divBdr>
    </w:div>
    <w:div w:id="456610217">
      <w:bodyDiv w:val="1"/>
      <w:marLeft w:val="0"/>
      <w:marRight w:val="0"/>
      <w:marTop w:val="0"/>
      <w:marBottom w:val="0"/>
      <w:divBdr>
        <w:top w:val="none" w:sz="0" w:space="0" w:color="auto"/>
        <w:left w:val="none" w:sz="0" w:space="0" w:color="auto"/>
        <w:bottom w:val="none" w:sz="0" w:space="0" w:color="auto"/>
        <w:right w:val="none" w:sz="0" w:space="0" w:color="auto"/>
      </w:divBdr>
    </w:div>
    <w:div w:id="523831171">
      <w:bodyDiv w:val="1"/>
      <w:marLeft w:val="0"/>
      <w:marRight w:val="0"/>
      <w:marTop w:val="0"/>
      <w:marBottom w:val="0"/>
      <w:divBdr>
        <w:top w:val="none" w:sz="0" w:space="0" w:color="auto"/>
        <w:left w:val="none" w:sz="0" w:space="0" w:color="auto"/>
        <w:bottom w:val="none" w:sz="0" w:space="0" w:color="auto"/>
        <w:right w:val="none" w:sz="0" w:space="0" w:color="auto"/>
      </w:divBdr>
    </w:div>
    <w:div w:id="593518666">
      <w:bodyDiv w:val="1"/>
      <w:marLeft w:val="0"/>
      <w:marRight w:val="0"/>
      <w:marTop w:val="0"/>
      <w:marBottom w:val="0"/>
      <w:divBdr>
        <w:top w:val="none" w:sz="0" w:space="0" w:color="auto"/>
        <w:left w:val="none" w:sz="0" w:space="0" w:color="auto"/>
        <w:bottom w:val="none" w:sz="0" w:space="0" w:color="auto"/>
        <w:right w:val="none" w:sz="0" w:space="0" w:color="auto"/>
      </w:divBdr>
    </w:div>
    <w:div w:id="710687175">
      <w:bodyDiv w:val="1"/>
      <w:marLeft w:val="0"/>
      <w:marRight w:val="0"/>
      <w:marTop w:val="0"/>
      <w:marBottom w:val="0"/>
      <w:divBdr>
        <w:top w:val="none" w:sz="0" w:space="0" w:color="auto"/>
        <w:left w:val="none" w:sz="0" w:space="0" w:color="auto"/>
        <w:bottom w:val="none" w:sz="0" w:space="0" w:color="auto"/>
        <w:right w:val="none" w:sz="0" w:space="0" w:color="auto"/>
      </w:divBdr>
    </w:div>
    <w:div w:id="725568030">
      <w:bodyDiv w:val="1"/>
      <w:marLeft w:val="0"/>
      <w:marRight w:val="0"/>
      <w:marTop w:val="0"/>
      <w:marBottom w:val="0"/>
      <w:divBdr>
        <w:top w:val="none" w:sz="0" w:space="0" w:color="auto"/>
        <w:left w:val="none" w:sz="0" w:space="0" w:color="auto"/>
        <w:bottom w:val="none" w:sz="0" w:space="0" w:color="auto"/>
        <w:right w:val="none" w:sz="0" w:space="0" w:color="auto"/>
      </w:divBdr>
    </w:div>
    <w:div w:id="769818588">
      <w:bodyDiv w:val="1"/>
      <w:marLeft w:val="0"/>
      <w:marRight w:val="0"/>
      <w:marTop w:val="0"/>
      <w:marBottom w:val="0"/>
      <w:divBdr>
        <w:top w:val="none" w:sz="0" w:space="0" w:color="auto"/>
        <w:left w:val="none" w:sz="0" w:space="0" w:color="auto"/>
        <w:bottom w:val="none" w:sz="0" w:space="0" w:color="auto"/>
        <w:right w:val="none" w:sz="0" w:space="0" w:color="auto"/>
      </w:divBdr>
    </w:div>
    <w:div w:id="799807720">
      <w:bodyDiv w:val="1"/>
      <w:marLeft w:val="0"/>
      <w:marRight w:val="0"/>
      <w:marTop w:val="0"/>
      <w:marBottom w:val="0"/>
      <w:divBdr>
        <w:top w:val="none" w:sz="0" w:space="0" w:color="auto"/>
        <w:left w:val="none" w:sz="0" w:space="0" w:color="auto"/>
        <w:bottom w:val="none" w:sz="0" w:space="0" w:color="auto"/>
        <w:right w:val="none" w:sz="0" w:space="0" w:color="auto"/>
      </w:divBdr>
    </w:div>
    <w:div w:id="1105928927">
      <w:bodyDiv w:val="1"/>
      <w:marLeft w:val="0"/>
      <w:marRight w:val="0"/>
      <w:marTop w:val="0"/>
      <w:marBottom w:val="0"/>
      <w:divBdr>
        <w:top w:val="none" w:sz="0" w:space="0" w:color="auto"/>
        <w:left w:val="none" w:sz="0" w:space="0" w:color="auto"/>
        <w:bottom w:val="none" w:sz="0" w:space="0" w:color="auto"/>
        <w:right w:val="none" w:sz="0" w:space="0" w:color="auto"/>
      </w:divBdr>
    </w:div>
    <w:div w:id="1168515428">
      <w:bodyDiv w:val="1"/>
      <w:marLeft w:val="0"/>
      <w:marRight w:val="0"/>
      <w:marTop w:val="0"/>
      <w:marBottom w:val="0"/>
      <w:divBdr>
        <w:top w:val="none" w:sz="0" w:space="0" w:color="auto"/>
        <w:left w:val="none" w:sz="0" w:space="0" w:color="auto"/>
        <w:bottom w:val="none" w:sz="0" w:space="0" w:color="auto"/>
        <w:right w:val="none" w:sz="0" w:space="0" w:color="auto"/>
      </w:divBdr>
    </w:div>
    <w:div w:id="1634366039">
      <w:bodyDiv w:val="1"/>
      <w:marLeft w:val="0"/>
      <w:marRight w:val="0"/>
      <w:marTop w:val="0"/>
      <w:marBottom w:val="0"/>
      <w:divBdr>
        <w:top w:val="none" w:sz="0" w:space="0" w:color="auto"/>
        <w:left w:val="none" w:sz="0" w:space="0" w:color="auto"/>
        <w:bottom w:val="none" w:sz="0" w:space="0" w:color="auto"/>
        <w:right w:val="none" w:sz="0" w:space="0" w:color="auto"/>
      </w:divBdr>
    </w:div>
    <w:div w:id="1666399579">
      <w:bodyDiv w:val="1"/>
      <w:marLeft w:val="0"/>
      <w:marRight w:val="0"/>
      <w:marTop w:val="0"/>
      <w:marBottom w:val="0"/>
      <w:divBdr>
        <w:top w:val="none" w:sz="0" w:space="0" w:color="auto"/>
        <w:left w:val="none" w:sz="0" w:space="0" w:color="auto"/>
        <w:bottom w:val="none" w:sz="0" w:space="0" w:color="auto"/>
        <w:right w:val="none" w:sz="0" w:space="0" w:color="auto"/>
      </w:divBdr>
    </w:div>
    <w:div w:id="1880315393">
      <w:bodyDiv w:val="1"/>
      <w:marLeft w:val="0"/>
      <w:marRight w:val="0"/>
      <w:marTop w:val="0"/>
      <w:marBottom w:val="0"/>
      <w:divBdr>
        <w:top w:val="none" w:sz="0" w:space="0" w:color="auto"/>
        <w:left w:val="none" w:sz="0" w:space="0" w:color="auto"/>
        <w:bottom w:val="none" w:sz="0" w:space="0" w:color="auto"/>
        <w:right w:val="none" w:sz="0" w:space="0" w:color="auto"/>
      </w:divBdr>
    </w:div>
    <w:div w:id="196426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mactexas.com" TargetMode="External"/><Relationship Id="rId1" Type="http://schemas.openxmlformats.org/officeDocument/2006/relationships/hyperlink" Target="http://www.mactexa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D8EC8-4235-4754-BAA6-5545D177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6342</Characters>
  <Application>Microsoft Office Word</Application>
  <DocSecurity>0</DocSecurity>
  <Lines>52</Lines>
  <Paragraphs>14</Paragraphs>
  <ScaleCrop>false</ScaleCrop>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2020-01-10T20:09:00Z</dcterms:created>
  <dcterms:modified xsi:type="dcterms:W3CDTF">2020-01-10T20:09:00Z</dcterms:modified>
</cp:coreProperties>
</file>